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between w:val="none" w:color="auto" w:sz="0" w:space="0"/>
        </w:pBdr>
        <w:spacing w:line="400" w:lineRule="exact"/>
        <w:rPr>
          <w:color w:val="000000"/>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rPr>
          <w:rFonts w:ascii="仿宋_GB2312" w:hAnsi="宋体" w:eastAsia="仿宋_GB2312"/>
          <w:color w:val="000000"/>
          <w:sz w:val="32"/>
          <w:szCs w:val="32"/>
        </w:rPr>
      </w:pPr>
      <w:r>
        <w:rPr>
          <w:rFonts w:hint="eastAsia"/>
        </w:rPr>
        <w:pict>
          <v:shape id="_x0000_s1034" o:spid="_x0000_s1034" o:spt="136" type="#_x0000_t136" style="position:absolute;left:0pt;margin-left:5.65pt;margin-top:18.6pt;height:78.1pt;width:420.7pt;z-index:251660288;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仿宋_GB2312" w:hAnsi="宋体" w:eastAsia="仿宋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仿宋_GB2312" w:hAnsi="宋体" w:eastAsia="仿宋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仿宋_GB2312" w:hAnsi="宋体" w:eastAsia="仿宋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仿宋_GB2312" w:hAnsi="宋体" w:eastAsia="仿宋_GB2312"/>
          <w:color w:val="000000"/>
          <w:sz w:val="32"/>
          <w:szCs w:val="32"/>
        </w:rPr>
      </w:pPr>
      <w:r>
        <w:rPr>
          <w:rFonts w:hint="eastAsia" w:ascii="仿宋_GB2312" w:hAnsi="宋体" w:eastAsia="仿宋_GB2312" w:cs="仿宋_GB2312"/>
          <w:color w:val="000000"/>
          <w:sz w:val="32"/>
          <w:szCs w:val="32"/>
        </w:rPr>
        <w:t>滕政发〔</w:t>
      </w: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〕18号</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561"/>
        <w:jc w:val="center"/>
        <w:rPr>
          <w:rFonts w:ascii="方正小标宋简体" w:hAnsi="宋体" w:eastAsia="方正小标宋简体"/>
          <w:color w:val="000000"/>
          <w:kern w:val="44"/>
          <w:sz w:val="44"/>
          <w:szCs w:val="44"/>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561"/>
        <w:jc w:val="center"/>
        <w:rPr>
          <w:rFonts w:ascii="方正小标宋简体" w:hAnsi="宋体" w:eastAsia="方正小标宋简体"/>
          <w:color w:val="000000"/>
          <w:kern w:val="44"/>
          <w:sz w:val="44"/>
          <w:szCs w:val="44"/>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-181610</wp:posOffset>
                </wp:positionV>
                <wp:extent cx="5143500" cy="635"/>
                <wp:effectExtent l="0" t="0" r="0" b="0"/>
                <wp:wrapNone/>
                <wp:docPr id="4" name="直线 11"/>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11" o:spid="_x0000_s1026" o:spt="20" style="position:absolute;left:0pt;margin-left:15pt;margin-top:-14.3pt;height:0.05pt;width:405pt;z-index:251661312;mso-width-relative:page;mso-height-relative:page;" filled="f" stroked="t" coordsize="21600,21600" o:gfxdata="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kTui&#10;PtcAAAAKAQAADwAAAAAAAAABACAAAAA4AAAAZHJzL2Rvd25yZXYueG1sUEsBAhQAFAAAAAgAh07i&#10;QIn9B/zUAQAAlAMAAA4AAAAAAAAAAQAgAAAAPAEAAGRycy9lMm9Eb2MueG1sUEsFBgAAAAAGAAYA&#10;WQEAAIIFAAAAAA==&#10;">
                <v:fill on="f" focussize="0,0"/>
                <v:stroke weight="2.25pt" color="#FF0000" joinstyle="round"/>
                <v:imagedata o:title=""/>
                <o:lock v:ext="edit" aspectratio="f"/>
              </v:line>
            </w:pict>
          </mc:Fallback>
        </mc:AlternateConten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方正小标宋简体" w:eastAsia="方正小标宋简体"/>
          <w:color w:val="000000"/>
          <w:kern w:val="44"/>
          <w:sz w:val="44"/>
          <w:szCs w:val="44"/>
        </w:rPr>
      </w:pPr>
      <w:r>
        <w:rPr>
          <w:rFonts w:hint="eastAsia" w:ascii="方正小标宋简体" w:eastAsia="方正小标宋简体" w:cs="方正小标宋简体"/>
          <w:color w:val="000000"/>
          <w:kern w:val="44"/>
          <w:sz w:val="44"/>
          <w:szCs w:val="44"/>
        </w:rPr>
        <w:t>滕州市人民政府</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方正小标宋简体" w:eastAsia="方正小标宋简体" w:cs="方正小标宋简体"/>
          <w:color w:val="000000"/>
          <w:kern w:val="44"/>
          <w:sz w:val="44"/>
          <w:szCs w:val="44"/>
        </w:rPr>
      </w:pPr>
      <w:r>
        <w:rPr>
          <w:rFonts w:hint="eastAsia" w:ascii="方正小标宋简体" w:eastAsia="方正小标宋简体" w:cs="方正小标宋简体"/>
          <w:color w:val="000000"/>
          <w:spacing w:val="-8"/>
          <w:kern w:val="44"/>
          <w:sz w:val="44"/>
          <w:szCs w:val="44"/>
        </w:rPr>
        <w:t>关于印发《滕州市城市污水处理提质增效三年</w:t>
      </w:r>
      <w:r>
        <w:rPr>
          <w:rFonts w:hint="eastAsia" w:ascii="方正小标宋简体" w:eastAsia="方正小标宋简体" w:cs="方正小标宋简体"/>
          <w:color w:val="000000"/>
          <w:kern w:val="44"/>
          <w:sz w:val="44"/>
          <w:szCs w:val="44"/>
        </w:rPr>
        <w:t>行动实施方案（</w:t>
      </w:r>
      <w:r>
        <w:rPr>
          <w:rFonts w:ascii="方正小标宋简体" w:eastAsia="方正小标宋简体" w:cs="方正小标宋简体"/>
          <w:color w:val="000000"/>
          <w:kern w:val="44"/>
          <w:sz w:val="44"/>
          <w:szCs w:val="44"/>
        </w:rPr>
        <w:t>2019</w:t>
      </w:r>
      <w:r>
        <w:rPr>
          <w:rFonts w:hint="eastAsia" w:ascii="方正小标宋简体" w:eastAsia="方正小标宋简体" w:cs="方正小标宋简体"/>
          <w:color w:val="000000"/>
          <w:kern w:val="44"/>
          <w:sz w:val="44"/>
          <w:szCs w:val="44"/>
        </w:rPr>
        <w:t>—</w:t>
      </w:r>
      <w:r>
        <w:rPr>
          <w:rFonts w:ascii="方正小标宋简体" w:eastAsia="方正小标宋简体" w:cs="方正小标宋简体"/>
          <w:color w:val="000000"/>
          <w:kern w:val="44"/>
          <w:sz w:val="44"/>
          <w:szCs w:val="44"/>
        </w:rPr>
        <w:t>2021</w:t>
      </w:r>
      <w:r>
        <w:rPr>
          <w:rFonts w:hint="eastAsia" w:ascii="方正小标宋简体" w:eastAsia="方正小标宋简体" w:cs="方正小标宋简体"/>
          <w:color w:val="000000"/>
          <w:kern w:val="44"/>
          <w:sz w:val="44"/>
          <w:szCs w:val="44"/>
        </w:rPr>
        <w:t>年）》的通知</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rPr>
          <w:rFonts w:ascii="仿宋_GB2312" w:hAnsi="仿宋_GB2312" w:eastAsia="仿宋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各镇人民政府、街道办事处，滕州经济开发区管委会，市政府各部门，各企事</w:t>
      </w:r>
      <w:bookmarkStart w:id="0" w:name="_GoBack"/>
      <w:bookmarkEnd w:id="0"/>
      <w:r>
        <w:rPr>
          <w:rFonts w:hint="eastAsia" w:ascii="仿宋_GB2312" w:hAnsi="仿宋_GB2312" w:eastAsia="仿宋_GB2312" w:cs="仿宋_GB2312"/>
          <w:color w:val="000000"/>
          <w:sz w:val="32"/>
          <w:szCs w:val="32"/>
        </w:rPr>
        <w:t>业单位：</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《滕</w:t>
      </w:r>
      <w:r>
        <w:rPr>
          <w:rFonts w:hint="eastAsia" w:ascii="仿宋_GB2312" w:eastAsia="仿宋_GB2312" w:cs="仿宋_GB2312"/>
          <w:color w:val="000000"/>
          <w:kern w:val="0"/>
          <w:sz w:val="32"/>
          <w:szCs w:val="32"/>
        </w:rPr>
        <w:t>州市城市污水处理提质增效三年行动实施方案（</w:t>
      </w:r>
      <w:r>
        <w:rPr>
          <w:rFonts w:ascii="仿宋_GB2312" w:eastAsia="仿宋_GB2312" w:cs="仿宋_GB2312"/>
          <w:color w:val="000000"/>
          <w:kern w:val="0"/>
          <w:sz w:val="32"/>
          <w:szCs w:val="32"/>
        </w:rPr>
        <w:t>2019</w:t>
      </w:r>
      <w:r>
        <w:rPr>
          <w:rFonts w:hint="eastAsia" w:ascii="仿宋_GB2312" w:eastAsia="仿宋_GB2312" w:cs="仿宋_GB2312"/>
          <w:color w:val="000000"/>
          <w:kern w:val="0"/>
          <w:sz w:val="32"/>
          <w:szCs w:val="32"/>
        </w:rPr>
        <w:t>—</w:t>
      </w:r>
      <w:r>
        <w:rPr>
          <w:rFonts w:ascii="仿宋_GB2312" w:eastAsia="仿宋_GB2312" w:cs="仿宋_GB2312"/>
          <w:color w:val="000000"/>
          <w:kern w:val="0"/>
          <w:sz w:val="32"/>
          <w:szCs w:val="32"/>
        </w:rPr>
        <w:t>2021</w:t>
      </w:r>
      <w:r>
        <w:rPr>
          <w:rFonts w:hint="eastAsia" w:ascii="仿宋_GB2312" w:eastAsia="仿宋_GB2312" w:cs="仿宋_GB2312"/>
          <w:color w:val="000000"/>
          <w:kern w:val="0"/>
          <w:sz w:val="32"/>
          <w:szCs w:val="32"/>
        </w:rPr>
        <w:t>年）》已经市政府同意，现印发给你们，请认真贯彻执</w:t>
      </w:r>
      <w:r>
        <w:rPr>
          <w:rFonts w:hint="eastAsia" w:ascii="仿宋_GB2312" w:hAnsi="宋体" w:eastAsia="仿宋_GB2312" w:cs="仿宋_GB2312"/>
          <w:color w:val="000000"/>
          <w:kern w:val="0"/>
          <w:sz w:val="32"/>
          <w:szCs w:val="32"/>
        </w:rPr>
        <w:t>行。</w:t>
      </w:r>
    </w:p>
    <w:p>
      <w:pPr>
        <w:pBdr>
          <w:top w:val="none" w:color="auto" w:sz="0" w:space="0"/>
          <w:left w:val="none" w:color="auto" w:sz="0" w:space="0"/>
          <w:bottom w:val="none" w:color="auto" w:sz="0" w:space="0"/>
          <w:right w:val="none" w:color="auto" w:sz="0" w:space="0"/>
          <w:between w:val="none" w:color="auto" w:sz="0" w:space="0"/>
        </w:pBdr>
        <w:overflowPunct w:val="0"/>
        <w:adjustRightInd w:val="0"/>
        <w:snapToGrid w:val="0"/>
        <w:spacing w:line="600" w:lineRule="exact"/>
        <w:rPr>
          <w:rFonts w:ascii="仿宋_GB2312" w:eastAsia="仿宋_GB2312"/>
          <w:color w:val="000000"/>
          <w:spacing w:val="3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adjustRightInd w:val="0"/>
        <w:snapToGrid w:val="0"/>
        <w:spacing w:line="600" w:lineRule="exact"/>
        <w:rPr>
          <w:rFonts w:ascii="仿宋_GB2312" w:eastAsia="仿宋_GB2312"/>
          <w:color w:val="000000"/>
          <w:spacing w:val="3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adjustRightInd w:val="0"/>
        <w:snapToGrid w:val="0"/>
        <w:spacing w:line="600" w:lineRule="exact"/>
        <w:ind w:firstLine="4928" w:firstLineChars="1400"/>
        <w:rPr>
          <w:rFonts w:ascii="仿宋_GB2312" w:eastAsia="仿宋_GB2312"/>
          <w:color w:val="000000"/>
          <w:spacing w:val="16"/>
          <w:kern w:val="32"/>
          <w:sz w:val="32"/>
          <w:szCs w:val="32"/>
        </w:rPr>
      </w:pPr>
      <w:r>
        <w:rPr>
          <w:rFonts w:hint="eastAsia" w:ascii="仿宋_GB2312" w:hAnsi="仿宋_GB2312" w:eastAsia="仿宋_GB2312" w:cs="仿宋_GB2312"/>
          <w:color w:val="000000"/>
          <w:spacing w:val="16"/>
          <w:kern w:val="32"/>
          <w:sz w:val="32"/>
          <w:szCs w:val="32"/>
        </w:rPr>
        <w:t>滕州市人民政府</w:t>
      </w:r>
    </w:p>
    <w:p>
      <w:pPr>
        <w:pBdr>
          <w:top w:val="none" w:color="auto" w:sz="0" w:space="0"/>
          <w:left w:val="none" w:color="auto" w:sz="0" w:space="0"/>
          <w:bottom w:val="none" w:color="auto" w:sz="0" w:space="0"/>
          <w:right w:val="none" w:color="auto" w:sz="0" w:space="0"/>
          <w:between w:val="none" w:color="auto" w:sz="0" w:space="0"/>
        </w:pBdr>
        <w:overflowPunct w:val="0"/>
        <w:adjustRightInd w:val="0"/>
        <w:snapToGrid w:val="0"/>
        <w:spacing w:line="600" w:lineRule="exact"/>
        <w:ind w:firstLine="4800" w:firstLineChars="1500"/>
        <w:rPr>
          <w:rFonts w:ascii="仿宋_GB2312" w:eastAsia="仿宋_GB2312"/>
          <w:color w:val="000000"/>
          <w:sz w:val="32"/>
          <w:szCs w:val="32"/>
        </w:rPr>
      </w:pPr>
      <w:r>
        <w:rPr>
          <w:rFonts w:ascii="仿宋_GB2312" w:eastAsia="仿宋_GB2312" w:cs="仿宋_GB2312"/>
          <w:color w:val="000000"/>
          <w:sz w:val="32"/>
          <w:szCs w:val="32"/>
        </w:rPr>
        <w:t>2019</w:t>
      </w:r>
      <w:r>
        <w:rPr>
          <w:rFonts w:hint="eastAsia" w:ascii="仿宋_GB2312" w:eastAsia="仿宋_GB2312" w:cs="仿宋_GB2312"/>
          <w:color w:val="000000"/>
          <w:sz w:val="32"/>
          <w:szCs w:val="32"/>
        </w:rPr>
        <w:t>年</w:t>
      </w:r>
      <w:r>
        <w:rPr>
          <w:rFonts w:ascii="仿宋_GB2312" w:eastAsia="仿宋_GB2312" w:cs="仿宋_GB2312"/>
          <w:color w:val="000000"/>
          <w:sz w:val="32"/>
          <w:szCs w:val="32"/>
        </w:rPr>
        <w:t>12</w:t>
      </w:r>
      <w:r>
        <w:rPr>
          <w:rFonts w:hint="eastAsia" w:ascii="仿宋_GB2312" w:eastAsia="仿宋_GB2312" w:cs="仿宋_GB2312"/>
          <w:color w:val="000000"/>
          <w:sz w:val="32"/>
          <w:szCs w:val="32"/>
        </w:rPr>
        <w:t>月31日</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方正小标宋简体" w:eastAsia="方正小标宋简体" w:cs="方正小标宋简体"/>
          <w:color w:val="000000"/>
          <w:sz w:val="44"/>
          <w:szCs w:val="44"/>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方正小标宋简体" w:eastAsia="方正小标宋简体" w:cs="方正小标宋简体"/>
          <w:color w:val="000000"/>
          <w:sz w:val="44"/>
          <w:szCs w:val="44"/>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eastAsia="方正小标宋简体" w:cs="方正小标宋简体"/>
          <w:color w:val="000000"/>
          <w:sz w:val="44"/>
          <w:szCs w:val="44"/>
        </w:rPr>
        <w:t>滕州市</w:t>
      </w:r>
      <w:r>
        <w:rPr>
          <w:rFonts w:hint="eastAsia" w:ascii="方正小标宋简体" w:hAnsi="方正小标宋简体" w:eastAsia="方正小标宋简体" w:cs="方正小标宋简体"/>
          <w:color w:val="000000"/>
          <w:sz w:val="44"/>
          <w:szCs w:val="44"/>
        </w:rPr>
        <w:t>城市污水处理提质增效三年行动</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方正小标宋简体" w:eastAsia="方正小标宋简体"/>
          <w:color w:val="000000"/>
          <w:sz w:val="44"/>
          <w:szCs w:val="44"/>
        </w:rPr>
      </w:pPr>
      <w:r>
        <w:rPr>
          <w:rFonts w:hint="eastAsia" w:ascii="方正小标宋简体" w:eastAsia="方正小标宋简体" w:cs="方正小标宋简体"/>
          <w:color w:val="000000"/>
          <w:sz w:val="44"/>
          <w:szCs w:val="44"/>
        </w:rPr>
        <w:t>实施方案（</w:t>
      </w:r>
      <w:r>
        <w:rPr>
          <w:rFonts w:ascii="方正小标宋简体" w:eastAsia="方正小标宋简体" w:cs="方正小标宋简体"/>
          <w:color w:val="000000"/>
          <w:sz w:val="44"/>
          <w:szCs w:val="44"/>
        </w:rPr>
        <w:t>2019</w:t>
      </w:r>
      <w:r>
        <w:rPr>
          <w:rFonts w:hint="eastAsia" w:ascii="方正小标宋简体" w:eastAsia="方正小标宋简体" w:cs="方正小标宋简体"/>
          <w:color w:val="000000"/>
          <w:sz w:val="44"/>
          <w:szCs w:val="44"/>
        </w:rPr>
        <w:t>—</w:t>
      </w:r>
      <w:r>
        <w:rPr>
          <w:rFonts w:ascii="方正小标宋简体" w:eastAsia="方正小标宋简体" w:cs="方正小标宋简体"/>
          <w:color w:val="000000"/>
          <w:sz w:val="44"/>
          <w:szCs w:val="44"/>
        </w:rPr>
        <w:t>2021</w:t>
      </w:r>
      <w:r>
        <w:rPr>
          <w:rFonts w:hint="eastAsia" w:ascii="方正小标宋简体" w:eastAsia="方正小标宋简体" w:cs="方正小标宋简体"/>
          <w:color w:val="000000"/>
          <w:sz w:val="44"/>
          <w:szCs w:val="44"/>
        </w:rPr>
        <w:t>年）</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1738" w:leftChars="304" w:hanging="1100" w:hangingChars="250"/>
        <w:rPr>
          <w:rFonts w:ascii="方正小标宋简体" w:eastAsia="方正小标宋简体"/>
          <w:color w:val="000000"/>
          <w:sz w:val="44"/>
          <w:szCs w:val="44"/>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根据</w:t>
      </w:r>
      <w:r>
        <w:rPr>
          <w:rFonts w:hint="eastAsia" w:ascii="仿宋_GB2312" w:hAnsi="仿宋_GB2312" w:eastAsia="仿宋_GB2312" w:cs="仿宋_GB2312"/>
          <w:color w:val="000000"/>
          <w:sz w:val="32"/>
          <w:szCs w:val="32"/>
          <w:shd w:val="clear" w:color="auto" w:fill="FFFFFF"/>
        </w:rPr>
        <w:t>国家住房和城乡建设部、生态环境部、发展改革委员会联合印发的《城镇污水处理提质增效三年行动方案（</w:t>
      </w:r>
      <w:r>
        <w:rPr>
          <w:rFonts w:ascii="仿宋_GB2312" w:hAnsi="仿宋_GB2312" w:eastAsia="仿宋_GB2312" w:cs="仿宋_GB2312"/>
          <w:color w:val="000000"/>
          <w:sz w:val="32"/>
          <w:szCs w:val="32"/>
          <w:shd w:val="clear" w:color="auto" w:fill="FFFFFF"/>
        </w:rPr>
        <w:t>2019—2021</w:t>
      </w:r>
      <w:r>
        <w:rPr>
          <w:rFonts w:hint="eastAsia" w:ascii="仿宋_GB2312" w:hAnsi="仿宋_GB2312" w:eastAsia="仿宋_GB2312" w:cs="仿宋_GB2312"/>
          <w:color w:val="000000"/>
          <w:sz w:val="32"/>
          <w:szCs w:val="32"/>
          <w:shd w:val="clear" w:color="auto" w:fill="FFFFFF"/>
        </w:rPr>
        <w:t>年）》及山东省住房和城乡建设厅、山东省生态环境厅、山东省发展改革委员会联合印发的《关于开展城市污水处理提质增效三年行动的通知》</w:t>
      </w:r>
      <w:r>
        <w:rPr>
          <w:rFonts w:hint="eastAsia" w:ascii="仿宋_GB2312" w:hAnsi="仿宋_GB2312" w:eastAsia="仿宋_GB2312" w:cs="仿宋_GB2312"/>
          <w:color w:val="000000"/>
          <w:sz w:val="32"/>
          <w:szCs w:val="32"/>
        </w:rPr>
        <w:t>精神，结合我市实际，制定本实施方案。</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rPr>
          <w:rFonts w:ascii="黑体" w:hAnsi="黑体" w:eastAsia="黑体"/>
          <w:color w:val="000000"/>
          <w:sz w:val="32"/>
          <w:szCs w:val="32"/>
        </w:rPr>
      </w:pPr>
      <w:r>
        <w:rPr>
          <w:rFonts w:hint="eastAsia" w:ascii="黑体" w:hAnsi="黑体" w:eastAsia="黑体" w:cs="黑体"/>
          <w:color w:val="000000"/>
          <w:sz w:val="32"/>
          <w:szCs w:val="32"/>
        </w:rPr>
        <w:t>一、总体要求</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1"/>
        <w:rPr>
          <w:rFonts w:ascii="楷体_GB2312" w:hAnsi="楷体_GB2312" w:eastAsia="楷体_GB2312"/>
          <w:color w:val="000000"/>
          <w:sz w:val="32"/>
          <w:szCs w:val="32"/>
        </w:rPr>
      </w:pPr>
      <w:r>
        <w:rPr>
          <w:rFonts w:hint="eastAsia" w:ascii="楷体_GB2312" w:hAnsi="楷体_GB2312" w:eastAsia="楷体_GB2312" w:cs="楷体_GB2312"/>
          <w:color w:val="000000"/>
          <w:sz w:val="32"/>
          <w:szCs w:val="32"/>
        </w:rPr>
        <w:t>（一）指导思想</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1"/>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以习近平新时代中国特色社会主义思想为指导，全面贯彻党的十九大和十九届二中、三中、四中全会精神，将解决突出生态环境问题作为民生优先领域，坚持雷厉风行与久久为功相结合，抓住薄弱环节、重点区域集中攻坚，加快补齐污水管网等设施短板，着力强化体制机制建设，为尽</w:t>
      </w:r>
      <w:r>
        <w:rPr>
          <w:rFonts w:hint="eastAsia" w:ascii="仿宋_GB2312" w:hAnsi="仿宋_GB2312" w:eastAsia="仿宋_GB2312" w:cs="仿宋_GB2312"/>
          <w:color w:val="000000"/>
          <w:spacing w:val="-6"/>
          <w:sz w:val="32"/>
          <w:szCs w:val="32"/>
        </w:rPr>
        <w:t>快实现污水管网全覆盖、全收集、全处理目标打下坚实基础，不断提升城市滨水环境质量。</w:t>
      </w:r>
    </w:p>
    <w:p>
      <w:pPr>
        <w:numPr>
          <w:ilvl w:val="0"/>
          <w:numId w:val="1"/>
        </w:num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rPr>
          <w:rFonts w:ascii="楷体_GB2312" w:hAnsi="楷体_GB2312" w:eastAsia="楷体_GB2312"/>
          <w:color w:val="000000"/>
          <w:sz w:val="32"/>
          <w:szCs w:val="32"/>
        </w:rPr>
      </w:pPr>
      <w:r>
        <w:rPr>
          <w:rFonts w:hint="eastAsia" w:ascii="楷体_GB2312" w:hAnsi="楷体_GB2312" w:eastAsia="楷体_GB2312" w:cs="楷体_GB2312"/>
          <w:color w:val="000000"/>
          <w:sz w:val="32"/>
          <w:szCs w:val="32"/>
        </w:rPr>
        <w:t>基本原则</w:t>
      </w:r>
    </w:p>
    <w:p>
      <w:pPr>
        <w:pStyle w:val="6"/>
        <w:widowControl w:val="0"/>
        <w:shd w:val="clear" w:color="auto" w:fill="FFFFFF"/>
        <w:overflowPunct w:val="0"/>
        <w:spacing w:before="0" w:beforeAutospacing="0" w:after="0" w:afterAutospacing="0" w:line="600" w:lineRule="exact"/>
        <w:ind w:firstLine="642" w:firstLineChars="200"/>
        <w:rPr>
          <w:rFonts w:ascii="仿宋_GB2312" w:hAnsi="仿宋_GB2312" w:eastAsia="仿宋_GB2312" w:cs="Times New Roman"/>
          <w:b/>
          <w:bCs/>
          <w:color w:val="000000"/>
          <w:sz w:val="32"/>
          <w:szCs w:val="32"/>
        </w:rPr>
      </w:pPr>
      <w:r>
        <w:rPr>
          <w:rFonts w:ascii="仿宋_GB2312" w:hAnsi="仿宋_GB2312" w:eastAsia="仿宋_GB2312" w:cs="仿宋_GB2312"/>
          <w:b/>
          <w:bCs/>
          <w:color w:val="000000"/>
          <w:sz w:val="32"/>
          <w:szCs w:val="32"/>
          <w:shd w:val="clear" w:color="auto" w:fill="FFFFFF"/>
        </w:rPr>
        <w:t>1.</w:t>
      </w:r>
      <w:r>
        <w:rPr>
          <w:rFonts w:hint="eastAsia" w:ascii="仿宋_GB2312" w:hAnsi="仿宋_GB2312" w:eastAsia="仿宋_GB2312" w:cs="仿宋_GB2312"/>
          <w:b/>
          <w:bCs/>
          <w:color w:val="000000"/>
          <w:sz w:val="32"/>
          <w:szCs w:val="32"/>
          <w:shd w:val="clear" w:color="auto" w:fill="FFFFFF"/>
        </w:rPr>
        <w:t>立足民生，优化环境。</w:t>
      </w:r>
      <w:r>
        <w:rPr>
          <w:rFonts w:hint="eastAsia" w:ascii="仿宋_GB2312" w:hAnsi="仿宋_GB2312" w:eastAsia="仿宋_GB2312" w:cs="仿宋_GB2312"/>
          <w:color w:val="000000"/>
          <w:sz w:val="32"/>
          <w:szCs w:val="32"/>
          <w:shd w:val="clear" w:color="auto" w:fill="FFFFFF"/>
        </w:rPr>
        <w:t>把污水处理提质增效作为关系民生的重大问题和扩大内需的重点领域，全面提升城市生活污水收集处理能力和水平，不断满足人民群众日益增长的优质水资源、良好水生态、优美水环境的需求。</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仿宋_GB2312" w:hAnsi="仿宋_GB2312" w:eastAsia="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问题导向，先急后缓</w:t>
      </w:r>
      <w:r>
        <w:rPr>
          <w:rFonts w:hint="eastAsia" w:ascii="仿宋_GB2312" w:hAnsi="仿宋_GB2312" w:eastAsia="仿宋_GB2312" w:cs="仿宋_GB2312"/>
          <w:color w:val="000000"/>
          <w:sz w:val="32"/>
          <w:szCs w:val="32"/>
        </w:rPr>
        <w:t>。坚持问题导向，以优化提升断面水质为重点，优先实施管网退河上岸工程，补齐城区北部、西部、城乡结合部管网设施短板、薄弱环节，解决管网设施不完善、雨污不分、污水直排入河、污水溢流和河水倒灌等问题。</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仿宋_GB2312" w:hAnsi="仿宋_GB2312" w:eastAsia="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谋划长远，节约高效</w:t>
      </w:r>
      <w:r>
        <w:rPr>
          <w:rFonts w:hint="eastAsia" w:ascii="仿宋_GB2312" w:hAnsi="仿宋_GB2312" w:eastAsia="仿宋_GB2312" w:cs="仿宋_GB2312"/>
          <w:color w:val="000000"/>
          <w:sz w:val="32"/>
          <w:szCs w:val="32"/>
        </w:rPr>
        <w:t>。在全面摸清污水管网底数的基础上，结合城市规划，坚持谋划长远、科学布置、经济高效、压茬推进，为提升城市污水处理效能、节约运行成本打下坚实基础。</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仿宋_GB2312" w:hAnsi="仿宋_GB2312" w:eastAsia="仿宋_GB2312"/>
          <w:color w:val="000000"/>
          <w:sz w:val="32"/>
          <w:szCs w:val="32"/>
        </w:rPr>
      </w:pPr>
      <w:r>
        <w:rPr>
          <w:rFonts w:ascii="仿宋_GB2312" w:hAnsi="仿宋_GB2312" w:eastAsia="仿宋_GB2312" w:cs="仿宋_GB2312"/>
          <w:b/>
          <w:bCs/>
          <w:color w:val="000000"/>
          <w:sz w:val="32"/>
          <w:szCs w:val="32"/>
        </w:rPr>
        <w:t>4.</w:t>
      </w:r>
      <w:r>
        <w:rPr>
          <w:rFonts w:hint="eastAsia" w:ascii="仿宋_GB2312" w:hAnsi="仿宋_GB2312" w:eastAsia="仿宋_GB2312" w:cs="仿宋_GB2312"/>
          <w:b/>
          <w:bCs/>
          <w:color w:val="000000"/>
          <w:sz w:val="32"/>
          <w:szCs w:val="32"/>
        </w:rPr>
        <w:t>落实责任，统筹协调。</w:t>
      </w:r>
      <w:r>
        <w:rPr>
          <w:rFonts w:hint="eastAsia" w:ascii="仿宋_GB2312" w:hAnsi="仿宋_GB2312" w:eastAsia="仿宋_GB2312" w:cs="仿宋_GB2312"/>
          <w:color w:val="000000"/>
          <w:sz w:val="32"/>
          <w:szCs w:val="32"/>
        </w:rPr>
        <w:t>建立上下联动、部门协作、</w:t>
      </w:r>
      <w:r>
        <w:rPr>
          <w:rFonts w:hint="eastAsia" w:ascii="仿宋_GB2312" w:hAnsi="仿宋_GB2312" w:eastAsia="仿宋_GB2312" w:cs="仿宋_GB2312"/>
          <w:sz w:val="32"/>
          <w:szCs w:val="32"/>
        </w:rPr>
        <w:t>多措并举、</w:t>
      </w:r>
      <w:r>
        <w:rPr>
          <w:rFonts w:hint="eastAsia" w:ascii="仿宋_GB2312" w:hAnsi="仿宋_GB2312" w:eastAsia="仿宋_GB2312" w:cs="仿宋_GB2312"/>
          <w:color w:val="000000"/>
          <w:sz w:val="32"/>
          <w:szCs w:val="32"/>
        </w:rPr>
        <w:t>高效有力的协调推进机制。强化政府主体责任，做好统筹协调，分解落实部门工作任务，加强资金保障，确保三年行动取得显著成效。</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仿宋_GB2312" w:hAnsi="仿宋_GB2312" w:eastAsia="仿宋_GB2312"/>
          <w:color w:val="000000"/>
          <w:sz w:val="32"/>
          <w:szCs w:val="32"/>
        </w:rPr>
      </w:pPr>
      <w:r>
        <w:rPr>
          <w:rFonts w:ascii="仿宋_GB2312" w:hAnsi="仿宋_GB2312" w:eastAsia="仿宋_GB2312" w:cs="仿宋_GB2312"/>
          <w:b/>
          <w:bCs/>
          <w:color w:val="000000"/>
          <w:sz w:val="32"/>
          <w:szCs w:val="32"/>
        </w:rPr>
        <w:t>5.</w:t>
      </w:r>
      <w:r>
        <w:rPr>
          <w:rFonts w:hint="eastAsia" w:ascii="仿宋_GB2312" w:hAnsi="仿宋_GB2312" w:eastAsia="仿宋_GB2312" w:cs="仿宋_GB2312"/>
          <w:b/>
          <w:bCs/>
          <w:color w:val="000000"/>
          <w:sz w:val="32"/>
          <w:szCs w:val="32"/>
        </w:rPr>
        <w:t>健全机制，长效管理。</w:t>
      </w:r>
      <w:r>
        <w:rPr>
          <w:rFonts w:hint="eastAsia" w:ascii="仿宋_GB2312" w:hAnsi="仿宋_GB2312" w:eastAsia="仿宋_GB2312" w:cs="仿宋_GB2312"/>
          <w:color w:val="000000"/>
          <w:sz w:val="32"/>
          <w:szCs w:val="32"/>
        </w:rPr>
        <w:t>抓好长效机制建设，力争用</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年时间，形成与推进实现污水管网全覆盖、全收集、全处理目标相适应的管理运维机制。强化政策引导，优化费价机制，调动企业和公众各方主体参与积极性，实现生态效益、经济效益和社会效益共赢。</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楷体_GB2312" w:hAnsi="楷体_GB2312" w:eastAsia="楷体_GB2312" w:cs="楷体_GB2312"/>
          <w:color w:val="000000"/>
          <w:sz w:val="32"/>
          <w:szCs w:val="32"/>
        </w:rPr>
        <w:t>（三）行动目标</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到</w:t>
      </w:r>
      <w:r>
        <w:rPr>
          <w:rFonts w:ascii="仿宋_GB2312" w:hAnsi="仿宋_GB2312" w:eastAsia="仿宋_GB2312" w:cs="仿宋_GB2312"/>
          <w:color w:val="000000"/>
          <w:sz w:val="32"/>
          <w:szCs w:val="32"/>
        </w:rPr>
        <w:t>2021</w:t>
      </w:r>
      <w:r>
        <w:rPr>
          <w:rFonts w:hint="eastAsia" w:ascii="仿宋_GB2312" w:hAnsi="仿宋_GB2312" w:eastAsia="仿宋_GB2312" w:cs="仿宋_GB2312"/>
          <w:color w:val="000000"/>
          <w:sz w:val="32"/>
          <w:szCs w:val="32"/>
        </w:rPr>
        <w:t>年，城市建成区基本消除生活污水直排口，基本消除城市重点区域和城乡结合部生活污水收集处理设施空白区，基本消除城市黑臭水体，完善城区排水管网建设管理机制，城市生活污水集中收集率到</w:t>
      </w:r>
      <w:r>
        <w:rPr>
          <w:rFonts w:ascii="仿宋_GB2312" w:hAnsi="仿宋_GB2312" w:eastAsia="仿宋_GB2312" w:cs="仿宋_GB2312"/>
          <w:color w:val="000000"/>
          <w:sz w:val="32"/>
          <w:szCs w:val="32"/>
        </w:rPr>
        <w:t>2021</w:t>
      </w:r>
      <w:r>
        <w:rPr>
          <w:rFonts w:hint="eastAsia" w:ascii="仿宋_GB2312" w:hAnsi="仿宋_GB2312" w:eastAsia="仿宋_GB2312" w:cs="仿宋_GB2312"/>
          <w:color w:val="000000"/>
          <w:sz w:val="32"/>
          <w:szCs w:val="32"/>
        </w:rPr>
        <w:t>年达到</w:t>
      </w:r>
      <w:r>
        <w:rPr>
          <w:rFonts w:ascii="仿宋_GB2312" w:hAnsi="仿宋_GB2312" w:eastAsia="仿宋_GB2312" w:cs="仿宋_GB2312"/>
          <w:color w:val="000000"/>
          <w:sz w:val="32"/>
          <w:szCs w:val="32"/>
        </w:rPr>
        <w:t>70%</w:t>
      </w:r>
      <w:r>
        <w:rPr>
          <w:rFonts w:hint="eastAsia" w:ascii="仿宋_GB2312" w:hAnsi="仿宋_GB2312" w:eastAsia="仿宋_GB2312" w:cs="仿宋_GB2312"/>
          <w:color w:val="000000"/>
          <w:sz w:val="32"/>
          <w:szCs w:val="32"/>
        </w:rPr>
        <w:t>，进水生化需氧量（</w:t>
      </w:r>
      <w:r>
        <w:rPr>
          <w:rFonts w:ascii="仿宋_GB2312" w:hAnsi="仿宋_GB2312" w:eastAsia="仿宋_GB2312" w:cs="仿宋_GB2312"/>
          <w:color w:val="000000"/>
          <w:sz w:val="32"/>
          <w:szCs w:val="32"/>
        </w:rPr>
        <w:t>BOD</w:t>
      </w:r>
      <w:r>
        <w:rPr>
          <w:rFonts w:ascii="仿宋_GB2312" w:hAnsi="仿宋_GB2312" w:eastAsia="仿宋_GB2312" w:cs="仿宋_GB2312"/>
          <w:color w:val="000000"/>
          <w:kern w:val="32"/>
          <w:sz w:val="32"/>
          <w:szCs w:val="32"/>
          <w:vertAlign w:val="subscript"/>
        </w:rPr>
        <w:t>5</w:t>
      </w:r>
      <w:r>
        <w:rPr>
          <w:rFonts w:hint="eastAsia" w:ascii="仿宋_GB2312" w:hAnsi="仿宋_GB2312" w:eastAsia="仿宋_GB2312" w:cs="仿宋_GB2312"/>
          <w:color w:val="000000"/>
          <w:sz w:val="32"/>
          <w:szCs w:val="32"/>
        </w:rPr>
        <w:t>）浓度提高至</w:t>
      </w:r>
      <w:r>
        <w:rPr>
          <w:rFonts w:ascii="仿宋_GB2312" w:hAnsi="仿宋_GB2312" w:eastAsia="仿宋_GB2312" w:cs="仿宋_GB2312"/>
          <w:color w:val="000000"/>
          <w:sz w:val="32"/>
          <w:szCs w:val="32"/>
        </w:rPr>
        <w:t>100mg/L</w:t>
      </w:r>
      <w:r>
        <w:rPr>
          <w:rFonts w:hint="eastAsia" w:ascii="仿宋_GB2312" w:hAnsi="仿宋_GB2312" w:eastAsia="仿宋_GB2312" w:cs="仿宋_GB2312"/>
          <w:color w:val="000000"/>
          <w:sz w:val="32"/>
          <w:szCs w:val="32"/>
        </w:rPr>
        <w:t>。</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rPr>
          <w:rFonts w:ascii="黑体" w:hAnsi="黑体" w:eastAsia="黑体"/>
          <w:color w:val="000000"/>
          <w:sz w:val="32"/>
          <w:szCs w:val="32"/>
        </w:rPr>
      </w:pPr>
      <w:r>
        <w:rPr>
          <w:rFonts w:hint="eastAsia" w:ascii="黑体" w:hAnsi="黑体" w:eastAsia="黑体" w:cs="黑体"/>
          <w:color w:val="000000"/>
          <w:sz w:val="32"/>
          <w:szCs w:val="32"/>
        </w:rPr>
        <w:t>二、明确重点建设任务</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楷体_GB2312" w:hAnsi="楷体_GB2312" w:eastAsia="楷体_GB2312" w:cs="楷体_GB2312"/>
          <w:color w:val="000000"/>
          <w:sz w:val="32"/>
          <w:szCs w:val="32"/>
        </w:rPr>
        <w:t>（一）</w:t>
      </w:r>
      <w:r>
        <w:rPr>
          <w:rFonts w:hint="eastAsia" w:ascii="楷体_GB2312" w:hAnsi="仿宋_GB2312" w:eastAsia="楷体_GB2312" w:cs="楷体_GB2312"/>
          <w:color w:val="000000"/>
          <w:kern w:val="2"/>
          <w:sz w:val="32"/>
          <w:szCs w:val="32"/>
        </w:rPr>
        <w:t>建设排水管网智慧信息平台</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仿宋_GB2312" w:hAnsi="仿宋_GB2312" w:eastAsia="仿宋_GB2312" w:cs="仿宋_GB2312"/>
          <w:color w:val="000000"/>
          <w:kern w:val="2"/>
          <w:sz w:val="32"/>
          <w:szCs w:val="32"/>
        </w:rPr>
        <w:t>鉴于城区排水管网总长达</w:t>
      </w:r>
      <w:r>
        <w:rPr>
          <w:rFonts w:ascii="仿宋_GB2312" w:hAnsi="仿宋_GB2312" w:eastAsia="仿宋_GB2312" w:cs="仿宋_GB2312"/>
          <w:color w:val="000000"/>
          <w:kern w:val="2"/>
          <w:sz w:val="32"/>
          <w:szCs w:val="32"/>
        </w:rPr>
        <w:t>500</w:t>
      </w:r>
      <w:r>
        <w:rPr>
          <w:rFonts w:hint="eastAsia" w:ascii="仿宋_GB2312" w:hAnsi="仿宋_GB2312" w:eastAsia="仿宋_GB2312" w:cs="仿宋_GB2312"/>
          <w:color w:val="000000"/>
          <w:kern w:val="2"/>
          <w:sz w:val="32"/>
          <w:szCs w:val="32"/>
        </w:rPr>
        <w:t>公里，根据国家、省城市污水处理提质增效三年行动要求，开展城市排水管网地理信息采集、管道混接、错接勘察，并绘制成图、建立数据库。先期实施部分主干污水管网及重点区域管网在线水质、水量监测，初步完成管网智慧平台建设，提升管网智慧化管理水平。</w:t>
      </w:r>
      <w:r>
        <w:rPr>
          <w:rFonts w:hint="eastAsia" w:ascii="楷体_GB2312" w:hAnsi="楷体_GB2312" w:eastAsia="楷体_GB2312" w:cs="楷体_GB2312"/>
          <w:color w:val="000000"/>
          <w:kern w:val="2"/>
          <w:sz w:val="32"/>
          <w:szCs w:val="32"/>
        </w:rPr>
        <w:t>（责任单位：市城乡水务局、市自然资源局；完成时限：</w:t>
      </w:r>
      <w:r>
        <w:rPr>
          <w:rFonts w:ascii="楷体_GB2312" w:hAnsi="楷体_GB2312" w:eastAsia="楷体_GB2312" w:cs="楷体_GB2312"/>
          <w:color w:val="000000"/>
          <w:kern w:val="2"/>
          <w:sz w:val="32"/>
          <w:szCs w:val="32"/>
        </w:rPr>
        <w:t>2020</w:t>
      </w:r>
      <w:r>
        <w:rPr>
          <w:rFonts w:hint="eastAsia" w:ascii="楷体_GB2312" w:hAnsi="楷体_GB2312" w:eastAsia="楷体_GB2312" w:cs="楷体_GB2312"/>
          <w:color w:val="000000"/>
          <w:kern w:val="2"/>
          <w:sz w:val="32"/>
          <w:szCs w:val="32"/>
        </w:rPr>
        <w:t>年底前）</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楷体_GB2312" w:hAnsi="楷体_GB2312" w:eastAsia="楷体_GB2312" w:cs="楷体_GB2312"/>
          <w:color w:val="000000"/>
          <w:sz w:val="32"/>
          <w:szCs w:val="32"/>
        </w:rPr>
        <w:t>（二）开展城市重点区域排水管网建设改造</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按照先急后缓、谋划长远、统筹协调、节约高效的工作要求，对城市重点区域排水管网进行建设改造。</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完善城市道路排水设施建设。</w:t>
      </w:r>
      <w:r>
        <w:rPr>
          <w:rFonts w:hint="eastAsia" w:ascii="仿宋_GB2312" w:hAnsi="仿宋_GB2312" w:eastAsia="仿宋_GB2312" w:cs="仿宋_GB2312"/>
          <w:color w:val="000000"/>
          <w:sz w:val="32"/>
          <w:szCs w:val="32"/>
        </w:rPr>
        <w:t>完善通盛路雨污管网建设。实施保通路、文化北路、荆泉路、振兴路雨污管网配套建设。完成小清河下游生态提升暨黑臭水体整治工程，完善沿线管网。对二污、三污管网进行维修，解决污水溢流问题。</w:t>
      </w:r>
      <w:r>
        <w:rPr>
          <w:rFonts w:hint="eastAsia" w:ascii="楷体_GB2312" w:hAnsi="楷体_GB2312" w:eastAsia="楷体_GB2312" w:cs="楷体_GB2312"/>
          <w:color w:val="000000"/>
          <w:kern w:val="32"/>
          <w:sz w:val="32"/>
          <w:szCs w:val="32"/>
        </w:rPr>
        <w:t>（责任单位：市综合行政执法局、市住房和城乡建设局；完成时限：</w:t>
      </w:r>
      <w:r>
        <w:rPr>
          <w:rFonts w:ascii="楷体_GB2312" w:hAnsi="楷体_GB2312" w:eastAsia="楷体_GB2312" w:cs="楷体_GB2312"/>
          <w:color w:val="000000"/>
          <w:kern w:val="32"/>
          <w:sz w:val="32"/>
          <w:szCs w:val="32"/>
        </w:rPr>
        <w:t>2019</w:t>
      </w:r>
      <w:r>
        <w:rPr>
          <w:rFonts w:hint="eastAsia" w:ascii="楷体_GB2312" w:hAnsi="楷体_GB2312" w:eastAsia="楷体_GB2312" w:cs="楷体_GB2312"/>
          <w:color w:val="000000"/>
          <w:kern w:val="32"/>
          <w:sz w:val="32"/>
          <w:szCs w:val="32"/>
        </w:rPr>
        <w:t>年底前）</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kern w:val="32"/>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实施污水管网退河上岸</w:t>
      </w:r>
      <w:r>
        <w:rPr>
          <w:rFonts w:hint="eastAsia" w:ascii="仿宋_GB2312" w:hAnsi="仿宋_GB2312" w:eastAsia="仿宋_GB2312" w:cs="仿宋_GB2312"/>
          <w:color w:val="000000"/>
          <w:sz w:val="32"/>
          <w:szCs w:val="32"/>
        </w:rPr>
        <w:t>。对龙泉大桥至解放大桥段</w:t>
      </w: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公里污水管网进行改造。结合城河三座闸坝迁建，优先启动实施城区荆河一污管网退河上岸工程（其中：茂源大桥至荆河桥</w:t>
      </w:r>
      <w:r>
        <w:rPr>
          <w:rFonts w:ascii="仿宋_GB2312" w:hAnsi="仿宋_GB2312" w:eastAsia="仿宋_GB2312" w:cs="仿宋_GB2312"/>
          <w:color w:val="000000"/>
          <w:sz w:val="32"/>
          <w:szCs w:val="32"/>
        </w:rPr>
        <w:t>0.41</w:t>
      </w:r>
      <w:r>
        <w:rPr>
          <w:rFonts w:hint="eastAsia" w:ascii="仿宋_GB2312" w:hAnsi="仿宋_GB2312" w:eastAsia="仿宋_GB2312" w:cs="仿宋_GB2312"/>
          <w:color w:val="000000"/>
          <w:sz w:val="32"/>
          <w:szCs w:val="32"/>
        </w:rPr>
        <w:t>公里；荆河桥至滕南橡胶坝</w:t>
      </w:r>
      <w:r>
        <w:rPr>
          <w:rFonts w:ascii="仿宋_GB2312" w:hAnsi="仿宋_GB2312" w:eastAsia="仿宋_GB2312" w:cs="仿宋_GB2312"/>
          <w:color w:val="000000"/>
          <w:sz w:val="32"/>
          <w:szCs w:val="32"/>
        </w:rPr>
        <w:t>1.8</w:t>
      </w:r>
      <w:r>
        <w:rPr>
          <w:rFonts w:hint="eastAsia" w:ascii="仿宋_GB2312" w:hAnsi="仿宋_GB2312" w:eastAsia="仿宋_GB2312" w:cs="仿宋_GB2312"/>
          <w:color w:val="000000"/>
          <w:sz w:val="32"/>
          <w:szCs w:val="32"/>
        </w:rPr>
        <w:t>公里；滕南橡胶坝至金城坝</w:t>
      </w:r>
      <w:r>
        <w:rPr>
          <w:rFonts w:ascii="仿宋_GB2312" w:hAnsi="仿宋_GB2312" w:eastAsia="仿宋_GB2312" w:cs="仿宋_GB2312"/>
          <w:color w:val="000000"/>
          <w:sz w:val="32"/>
          <w:szCs w:val="32"/>
        </w:rPr>
        <w:t>1.35</w:t>
      </w:r>
      <w:r>
        <w:rPr>
          <w:rFonts w:hint="eastAsia" w:ascii="仿宋_GB2312" w:hAnsi="仿宋_GB2312" w:eastAsia="仿宋_GB2312" w:cs="仿宋_GB2312"/>
          <w:color w:val="000000"/>
          <w:sz w:val="32"/>
          <w:szCs w:val="32"/>
        </w:rPr>
        <w:t>公里；金城坝至幸福坝</w:t>
      </w:r>
      <w:r>
        <w:rPr>
          <w:rFonts w:ascii="仿宋_GB2312" w:hAnsi="仿宋_GB2312" w:eastAsia="仿宋_GB2312" w:cs="仿宋_GB2312"/>
          <w:color w:val="000000"/>
          <w:sz w:val="32"/>
          <w:szCs w:val="32"/>
        </w:rPr>
        <w:t>1.55</w:t>
      </w:r>
      <w:r>
        <w:rPr>
          <w:rFonts w:hint="eastAsia" w:ascii="仿宋_GB2312" w:hAnsi="仿宋_GB2312" w:eastAsia="仿宋_GB2312" w:cs="仿宋_GB2312"/>
          <w:color w:val="000000"/>
          <w:sz w:val="32"/>
          <w:szCs w:val="32"/>
        </w:rPr>
        <w:t>公里）</w:t>
      </w:r>
      <w:r>
        <w:rPr>
          <w:rFonts w:hint="eastAsia" w:ascii="仿宋_GB2312" w:hAnsi="仿宋_GB2312" w:eastAsia="仿宋_GB2312" w:cs="仿宋_GB2312"/>
          <w:color w:val="000000"/>
          <w:kern w:val="32"/>
          <w:sz w:val="32"/>
          <w:szCs w:val="32"/>
        </w:rPr>
        <w:t>，通过管网退河上岸改造，</w:t>
      </w:r>
      <w:r>
        <w:rPr>
          <w:rFonts w:hint="eastAsia" w:ascii="仿宋_GB2312" w:hAnsi="仿宋_GB2312" w:eastAsia="仿宋_GB2312" w:cs="仿宋_GB2312"/>
          <w:color w:val="000000"/>
          <w:sz w:val="32"/>
          <w:szCs w:val="32"/>
        </w:rPr>
        <w:t>彻底解决污水溢流、河水倒灌，</w:t>
      </w:r>
      <w:r>
        <w:rPr>
          <w:rFonts w:hint="eastAsia" w:ascii="仿宋_GB2312" w:hAnsi="仿宋_GB2312" w:eastAsia="仿宋_GB2312" w:cs="仿宋_GB2312"/>
          <w:color w:val="000000"/>
          <w:kern w:val="32"/>
          <w:sz w:val="32"/>
          <w:szCs w:val="32"/>
        </w:rPr>
        <w:t>压解污水厂处理负荷，节约污水厂运行成本，提升污水管网水质。同时，</w:t>
      </w:r>
      <w:r>
        <w:rPr>
          <w:rFonts w:hint="eastAsia" w:ascii="仿宋_GB2312" w:hAnsi="仿宋_GB2312" w:eastAsia="仿宋_GB2312" w:cs="仿宋_GB2312"/>
          <w:color w:val="000000"/>
          <w:sz w:val="32"/>
          <w:szCs w:val="32"/>
        </w:rPr>
        <w:t>确保河道正常蓄水深度，营造城区河道水面连续的生态景观。</w:t>
      </w:r>
      <w:r>
        <w:rPr>
          <w:rFonts w:hint="eastAsia" w:ascii="楷体_GB2312" w:hAnsi="楷体_GB2312" w:eastAsia="楷体_GB2312" w:cs="楷体_GB2312"/>
          <w:color w:val="000000"/>
          <w:kern w:val="32"/>
          <w:sz w:val="32"/>
          <w:szCs w:val="32"/>
        </w:rPr>
        <w:t>（责任单位：市城乡水务局、市综合行政执法局；完成时限：</w:t>
      </w:r>
      <w:r>
        <w:rPr>
          <w:rFonts w:ascii="楷体_GB2312" w:hAnsi="楷体_GB2312" w:eastAsia="楷体_GB2312" w:cs="楷体_GB2312"/>
          <w:color w:val="000000"/>
          <w:kern w:val="32"/>
          <w:sz w:val="32"/>
          <w:szCs w:val="32"/>
        </w:rPr>
        <w:t>2020</w:t>
      </w:r>
      <w:r>
        <w:rPr>
          <w:rFonts w:hint="eastAsia" w:ascii="楷体_GB2312" w:hAnsi="楷体_GB2312" w:eastAsia="楷体_GB2312" w:cs="楷体_GB2312"/>
          <w:color w:val="000000"/>
          <w:kern w:val="32"/>
          <w:sz w:val="32"/>
          <w:szCs w:val="32"/>
        </w:rPr>
        <w:t>年底前）</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仿宋_GB2312" w:hAnsi="楷体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实施重点区域管网建设</w:t>
      </w:r>
      <w:r>
        <w:rPr>
          <w:rFonts w:hint="eastAsia" w:ascii="仿宋_GB2312" w:hAnsi="仿宋_GB2312" w:eastAsia="仿宋_GB2312" w:cs="仿宋_GB2312"/>
          <w:color w:val="000000"/>
          <w:sz w:val="32"/>
          <w:szCs w:val="32"/>
        </w:rPr>
        <w:t>。在城区北部，以通盛路为界，</w:t>
      </w:r>
      <w:r>
        <w:rPr>
          <w:rFonts w:hint="eastAsia" w:ascii="仿宋_GB2312" w:hAnsi="楷体_GB2312" w:eastAsia="仿宋_GB2312" w:cs="仿宋_GB2312"/>
          <w:color w:val="000000"/>
          <w:sz w:val="32"/>
          <w:szCs w:val="32"/>
        </w:rPr>
        <w:t>对通盛路以北、红荷路以南、龙泉路以西、</w:t>
      </w:r>
      <w:r>
        <w:rPr>
          <w:rFonts w:ascii="仿宋_GB2312" w:hAnsi="楷体_GB2312" w:eastAsia="仿宋_GB2312" w:cs="仿宋_GB2312"/>
          <w:color w:val="000000"/>
          <w:sz w:val="32"/>
          <w:szCs w:val="32"/>
        </w:rPr>
        <w:t>104</w:t>
      </w:r>
      <w:r>
        <w:rPr>
          <w:rFonts w:hint="eastAsia" w:ascii="仿宋_GB2312" w:hAnsi="楷体_GB2312" w:eastAsia="仿宋_GB2312" w:cs="仿宋_GB2312"/>
          <w:color w:val="000000"/>
          <w:sz w:val="32"/>
          <w:szCs w:val="32"/>
        </w:rPr>
        <w:t>国道以东</w:t>
      </w:r>
      <w:r>
        <w:rPr>
          <w:rFonts w:ascii="仿宋_GB2312" w:hAnsi="楷体_GB2312" w:eastAsia="仿宋_GB2312" w:cs="仿宋_GB2312"/>
          <w:color w:val="000000"/>
          <w:sz w:val="32"/>
          <w:szCs w:val="32"/>
        </w:rPr>
        <w:t>5.65</w:t>
      </w:r>
      <w:r>
        <w:rPr>
          <w:rFonts w:hint="eastAsia" w:ascii="仿宋_GB2312" w:hAnsi="楷体_GB2312" w:eastAsia="仿宋_GB2312" w:cs="仿宋_GB2312"/>
          <w:color w:val="000000"/>
          <w:sz w:val="32"/>
          <w:szCs w:val="32"/>
        </w:rPr>
        <w:t>平方公里区域，沿红荷路（龙泉路</w:t>
      </w:r>
      <w:r>
        <w:rPr>
          <w:rFonts w:ascii="仿宋_GB2312" w:hAnsi="楷体_GB2312" w:eastAsia="仿宋_GB2312" w:cs="仿宋_GB2312"/>
          <w:color w:val="000000"/>
          <w:sz w:val="32"/>
          <w:szCs w:val="32"/>
        </w:rPr>
        <w:t>-</w:t>
      </w:r>
      <w:r>
        <w:rPr>
          <w:rFonts w:hint="eastAsia" w:ascii="仿宋_GB2312" w:hAnsi="楷体_GB2312" w:eastAsia="仿宋_GB2312" w:cs="仿宋_GB2312"/>
          <w:color w:val="000000"/>
          <w:sz w:val="32"/>
          <w:szCs w:val="32"/>
        </w:rPr>
        <w:t>排水明渠）新建污水管网</w:t>
      </w:r>
      <w:r>
        <w:rPr>
          <w:rFonts w:ascii="仿宋_GB2312" w:hAnsi="楷体_GB2312" w:eastAsia="仿宋_GB2312" w:cs="仿宋_GB2312"/>
          <w:color w:val="000000"/>
          <w:sz w:val="32"/>
          <w:szCs w:val="32"/>
        </w:rPr>
        <w:t>5.4</w:t>
      </w:r>
      <w:r>
        <w:rPr>
          <w:rFonts w:hint="eastAsia" w:ascii="仿宋_GB2312" w:hAnsi="楷体_GB2312" w:eastAsia="仿宋_GB2312" w:cs="仿宋_GB2312"/>
          <w:color w:val="000000"/>
          <w:sz w:val="32"/>
          <w:szCs w:val="32"/>
        </w:rPr>
        <w:t>公里，沿排水明渠（红荷路</w:t>
      </w:r>
      <w:r>
        <w:rPr>
          <w:rFonts w:ascii="仿宋_GB2312" w:hAnsi="楷体_GB2312" w:eastAsia="仿宋_GB2312" w:cs="仿宋_GB2312"/>
          <w:color w:val="000000"/>
          <w:sz w:val="32"/>
          <w:szCs w:val="32"/>
        </w:rPr>
        <w:t>-</w:t>
      </w:r>
      <w:r>
        <w:rPr>
          <w:rFonts w:hint="eastAsia" w:ascii="仿宋_GB2312" w:hAnsi="楷体_GB2312" w:eastAsia="仿宋_GB2312" w:cs="仿宋_GB2312"/>
          <w:color w:val="000000"/>
          <w:sz w:val="32"/>
          <w:szCs w:val="32"/>
        </w:rPr>
        <w:t>小冯河）新建污水管网</w:t>
      </w:r>
      <w:r>
        <w:rPr>
          <w:rFonts w:ascii="仿宋_GB2312" w:hAnsi="楷体_GB2312" w:eastAsia="仿宋_GB2312" w:cs="仿宋_GB2312"/>
          <w:color w:val="000000"/>
          <w:sz w:val="32"/>
          <w:szCs w:val="32"/>
        </w:rPr>
        <w:t>1.6</w:t>
      </w:r>
      <w:r>
        <w:rPr>
          <w:rFonts w:hint="eastAsia" w:ascii="仿宋_GB2312" w:hAnsi="楷体_GB2312" w:eastAsia="仿宋_GB2312" w:cs="仿宋_GB2312"/>
          <w:color w:val="000000"/>
          <w:sz w:val="32"/>
          <w:szCs w:val="32"/>
        </w:rPr>
        <w:t>公里，沿大同北路（红荷路</w:t>
      </w:r>
      <w:r>
        <w:rPr>
          <w:rFonts w:ascii="仿宋_GB2312" w:hAnsi="楷体_GB2312" w:eastAsia="仿宋_GB2312" w:cs="仿宋_GB2312"/>
          <w:color w:val="000000"/>
          <w:sz w:val="32"/>
          <w:szCs w:val="32"/>
        </w:rPr>
        <w:t>-</w:t>
      </w:r>
      <w:r>
        <w:rPr>
          <w:rFonts w:hint="eastAsia" w:ascii="仿宋_GB2312" w:hAnsi="楷体_GB2312" w:eastAsia="仿宋_GB2312" w:cs="仿宋_GB2312"/>
          <w:color w:val="000000"/>
          <w:sz w:val="32"/>
          <w:szCs w:val="32"/>
        </w:rPr>
        <w:t>北辛路）新建污水管网</w:t>
      </w:r>
      <w:r>
        <w:rPr>
          <w:rFonts w:ascii="仿宋_GB2312" w:hAnsi="楷体_GB2312" w:eastAsia="仿宋_GB2312" w:cs="仿宋_GB2312"/>
          <w:color w:val="000000"/>
          <w:sz w:val="32"/>
          <w:szCs w:val="32"/>
        </w:rPr>
        <w:t>1.63</w:t>
      </w:r>
      <w:r>
        <w:rPr>
          <w:rFonts w:hint="eastAsia" w:ascii="仿宋_GB2312" w:hAnsi="楷体_GB2312" w:eastAsia="仿宋_GB2312" w:cs="仿宋_GB2312"/>
          <w:color w:val="000000"/>
          <w:sz w:val="32"/>
          <w:szCs w:val="32"/>
        </w:rPr>
        <w:t>公里，沿塔寺路（陶山路</w:t>
      </w:r>
      <w:r>
        <w:rPr>
          <w:rFonts w:ascii="仿宋_GB2312" w:hAnsi="楷体_GB2312" w:eastAsia="仿宋_GB2312" w:cs="仿宋_GB2312"/>
          <w:color w:val="000000"/>
          <w:sz w:val="32"/>
          <w:szCs w:val="32"/>
        </w:rPr>
        <w:t>-</w:t>
      </w:r>
      <w:r>
        <w:rPr>
          <w:rFonts w:hint="eastAsia" w:ascii="仿宋_GB2312" w:hAnsi="楷体_GB2312" w:eastAsia="仿宋_GB2312" w:cs="仿宋_GB2312"/>
          <w:color w:val="000000"/>
          <w:sz w:val="32"/>
          <w:szCs w:val="32"/>
        </w:rPr>
        <w:t>通盛路）新建污水管网</w:t>
      </w:r>
      <w:r>
        <w:rPr>
          <w:rFonts w:ascii="仿宋_GB2312" w:hAnsi="楷体_GB2312" w:eastAsia="仿宋_GB2312" w:cs="仿宋_GB2312"/>
          <w:color w:val="000000"/>
          <w:sz w:val="32"/>
          <w:szCs w:val="32"/>
        </w:rPr>
        <w:t>0.65</w:t>
      </w:r>
      <w:r>
        <w:rPr>
          <w:rFonts w:hint="eastAsia" w:ascii="仿宋_GB2312" w:hAnsi="楷体_GB2312" w:eastAsia="仿宋_GB2312" w:cs="仿宋_GB2312"/>
          <w:color w:val="000000"/>
          <w:sz w:val="32"/>
          <w:szCs w:val="32"/>
        </w:rPr>
        <w:t>公里，沿龙泉路（红荷路</w:t>
      </w:r>
      <w:r>
        <w:rPr>
          <w:rFonts w:ascii="仿宋_GB2312" w:hAnsi="楷体_GB2312" w:eastAsia="仿宋_GB2312" w:cs="仿宋_GB2312"/>
          <w:color w:val="000000"/>
          <w:sz w:val="32"/>
          <w:szCs w:val="32"/>
        </w:rPr>
        <w:t>-</w:t>
      </w:r>
      <w:r>
        <w:rPr>
          <w:rFonts w:hint="eastAsia" w:ascii="仿宋_GB2312" w:hAnsi="楷体_GB2312" w:eastAsia="仿宋_GB2312" w:cs="仿宋_GB2312"/>
          <w:color w:val="000000"/>
          <w:sz w:val="32"/>
          <w:szCs w:val="32"/>
        </w:rPr>
        <w:t>通盛路）新建污水管网</w:t>
      </w:r>
      <w:r>
        <w:rPr>
          <w:rFonts w:ascii="仿宋_GB2312" w:hAnsi="楷体_GB2312" w:eastAsia="仿宋_GB2312" w:cs="仿宋_GB2312"/>
          <w:color w:val="000000"/>
          <w:sz w:val="32"/>
          <w:szCs w:val="32"/>
        </w:rPr>
        <w:t>1.1</w:t>
      </w:r>
      <w:r>
        <w:rPr>
          <w:rFonts w:hint="eastAsia" w:ascii="仿宋_GB2312" w:hAnsi="楷体_GB2312" w:eastAsia="仿宋_GB2312" w:cs="仿宋_GB2312"/>
          <w:color w:val="000000"/>
          <w:sz w:val="32"/>
          <w:szCs w:val="32"/>
        </w:rPr>
        <w:t>公里，共新建污水主干管网</w:t>
      </w:r>
      <w:r>
        <w:rPr>
          <w:rFonts w:ascii="仿宋_GB2312" w:hAnsi="楷体_GB2312" w:eastAsia="仿宋_GB2312" w:cs="仿宋_GB2312"/>
          <w:color w:val="000000"/>
          <w:sz w:val="32"/>
          <w:szCs w:val="32"/>
        </w:rPr>
        <w:t>10.38</w:t>
      </w:r>
      <w:r>
        <w:rPr>
          <w:rFonts w:hint="eastAsia" w:ascii="仿宋_GB2312" w:hAnsi="楷体_GB2312" w:eastAsia="仿宋_GB2312" w:cs="仿宋_GB2312"/>
          <w:color w:val="000000"/>
          <w:sz w:val="32"/>
          <w:szCs w:val="32"/>
        </w:rPr>
        <w:t>公里，原合流制管网改造为雨水管网；对通盛路以南、北辛路以北</w:t>
      </w:r>
      <w:r>
        <w:rPr>
          <w:rFonts w:ascii="仿宋_GB2312" w:hAnsi="楷体_GB2312" w:eastAsia="仿宋_GB2312" w:cs="仿宋_GB2312"/>
          <w:color w:val="000000"/>
          <w:sz w:val="32"/>
          <w:szCs w:val="32"/>
        </w:rPr>
        <w:t>2.2</w:t>
      </w:r>
      <w:r>
        <w:rPr>
          <w:rFonts w:hint="eastAsia" w:ascii="仿宋_GB2312" w:hAnsi="楷体_GB2312" w:eastAsia="仿宋_GB2312" w:cs="仿宋_GB2312"/>
          <w:color w:val="000000"/>
          <w:sz w:val="32"/>
          <w:szCs w:val="32"/>
        </w:rPr>
        <w:t>平方公里雨污混流区域，在北辛大干渠末端建设清污分流工程（</w:t>
      </w:r>
      <w:r>
        <w:rPr>
          <w:rFonts w:hint="eastAsia" w:ascii="楷体_GB2312" w:hAnsi="楷体_GB2312" w:eastAsia="楷体_GB2312" w:cs="楷体_GB2312"/>
          <w:color w:val="000000"/>
          <w:sz w:val="32"/>
          <w:szCs w:val="32"/>
        </w:rPr>
        <w:t>责任单位：市城乡水务局；完成时限：2020年底前）</w:t>
      </w:r>
      <w:r>
        <w:rPr>
          <w:rFonts w:hint="eastAsia" w:ascii="仿宋_GB2312" w:hAnsi="楷体_GB2312" w:eastAsia="仿宋_GB2312" w:cs="仿宋_GB2312"/>
          <w:color w:val="000000"/>
          <w:sz w:val="32"/>
          <w:szCs w:val="32"/>
        </w:rPr>
        <w:t>。沿善国路（红荷大道</w:t>
      </w:r>
      <w:r>
        <w:rPr>
          <w:rFonts w:ascii="仿宋_GB2312" w:hAnsi="楷体_GB2312" w:eastAsia="仿宋_GB2312" w:cs="仿宋_GB2312"/>
          <w:color w:val="000000"/>
          <w:sz w:val="32"/>
          <w:szCs w:val="32"/>
        </w:rPr>
        <w:t>-</w:t>
      </w:r>
      <w:r>
        <w:rPr>
          <w:rFonts w:hint="eastAsia" w:ascii="仿宋_GB2312" w:hAnsi="楷体_GB2312" w:eastAsia="仿宋_GB2312" w:cs="仿宋_GB2312"/>
          <w:color w:val="000000"/>
          <w:sz w:val="32"/>
          <w:szCs w:val="32"/>
        </w:rPr>
        <w:t>通盛路）新建污水管网</w:t>
      </w:r>
      <w:r>
        <w:rPr>
          <w:rFonts w:ascii="仿宋_GB2312" w:hAnsi="楷体_GB2312" w:eastAsia="仿宋_GB2312" w:cs="仿宋_GB2312"/>
          <w:color w:val="000000"/>
          <w:sz w:val="32"/>
          <w:szCs w:val="32"/>
        </w:rPr>
        <w:t>1.1</w:t>
      </w:r>
      <w:r>
        <w:rPr>
          <w:rFonts w:hint="eastAsia" w:ascii="仿宋_GB2312" w:hAnsi="楷体_GB2312" w:eastAsia="仿宋_GB2312" w:cs="仿宋_GB2312"/>
          <w:color w:val="000000"/>
          <w:sz w:val="32"/>
          <w:szCs w:val="32"/>
        </w:rPr>
        <w:t>公里（参照后期城市道路规划适时变更），原合流制管网改造为雨水管网</w:t>
      </w:r>
      <w:r>
        <w:rPr>
          <w:rFonts w:hint="eastAsia" w:ascii="楷体_GB2312" w:hAnsi="楷体_GB2312" w:eastAsia="楷体_GB2312" w:cs="楷体_GB2312"/>
          <w:color w:val="000000"/>
          <w:sz w:val="32"/>
          <w:szCs w:val="32"/>
        </w:rPr>
        <w:t>（责任单位：市城乡水务局；完成时限：2021年底前）</w:t>
      </w:r>
      <w:r>
        <w:rPr>
          <w:rFonts w:hint="eastAsia" w:ascii="仿宋_GB2312" w:hAnsi="楷体_GB2312" w:eastAsia="仿宋_GB2312" w:cs="仿宋_GB2312"/>
          <w:color w:val="000000"/>
          <w:sz w:val="32"/>
          <w:szCs w:val="32"/>
        </w:rPr>
        <w:t>。</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sz w:val="32"/>
          <w:szCs w:val="32"/>
        </w:rPr>
      </w:pPr>
      <w:r>
        <w:rPr>
          <w:rFonts w:ascii="仿宋_GB2312" w:hAnsi="仿宋_GB2312" w:eastAsia="仿宋_GB2312" w:cs="仿宋_GB2312"/>
          <w:b/>
          <w:bCs/>
          <w:color w:val="000000"/>
          <w:sz w:val="32"/>
          <w:szCs w:val="32"/>
        </w:rPr>
        <w:t>4.</w:t>
      </w:r>
      <w:r>
        <w:rPr>
          <w:rFonts w:hint="eastAsia" w:ascii="仿宋_GB2312" w:hAnsi="仿宋_GB2312" w:eastAsia="仿宋_GB2312" w:cs="仿宋_GB2312"/>
          <w:b/>
          <w:bCs/>
          <w:color w:val="000000"/>
          <w:sz w:val="32"/>
          <w:szCs w:val="32"/>
        </w:rPr>
        <w:t>第三污水处理厂管网改造提升。</w:t>
      </w:r>
      <w:r>
        <w:rPr>
          <w:rFonts w:hint="eastAsia" w:ascii="仿宋_GB2312" w:hAnsi="楷体_GB2312" w:eastAsia="仿宋_GB2312" w:cs="仿宋_GB2312"/>
          <w:color w:val="000000"/>
          <w:sz w:val="32"/>
          <w:szCs w:val="32"/>
        </w:rPr>
        <w:t>全面排查改造第三污水处理厂管网，重点对小清河</w:t>
      </w:r>
      <w:r>
        <w:rPr>
          <w:rFonts w:ascii="仿宋_GB2312" w:hAnsi="楷体_GB2312" w:eastAsia="仿宋_GB2312" w:cs="仿宋_GB2312"/>
          <w:color w:val="000000"/>
          <w:sz w:val="32"/>
          <w:szCs w:val="32"/>
        </w:rPr>
        <w:t>1.9</w:t>
      </w:r>
      <w:r>
        <w:rPr>
          <w:rFonts w:hint="eastAsia" w:ascii="仿宋_GB2312" w:hAnsi="楷体_GB2312" w:eastAsia="仿宋_GB2312" w:cs="仿宋_GB2312"/>
          <w:color w:val="000000"/>
          <w:sz w:val="32"/>
          <w:szCs w:val="32"/>
        </w:rPr>
        <w:t>公里、小冯河</w:t>
      </w:r>
      <w:r>
        <w:rPr>
          <w:rFonts w:ascii="仿宋_GB2312" w:hAnsi="楷体_GB2312" w:eastAsia="仿宋_GB2312" w:cs="仿宋_GB2312"/>
          <w:color w:val="000000"/>
          <w:sz w:val="32"/>
          <w:szCs w:val="32"/>
        </w:rPr>
        <w:t>2.2</w:t>
      </w:r>
      <w:r>
        <w:rPr>
          <w:rFonts w:hint="eastAsia" w:ascii="仿宋_GB2312" w:hAnsi="楷体_GB2312" w:eastAsia="仿宋_GB2312" w:cs="仿宋_GB2312"/>
          <w:color w:val="000000"/>
          <w:sz w:val="32"/>
          <w:szCs w:val="32"/>
        </w:rPr>
        <w:t>公里鲁班大道桥至姜屯王林水库段坍塌、污水外溢的管网进行改造提升，确保正常运行</w:t>
      </w:r>
      <w:r>
        <w:rPr>
          <w:rFonts w:hint="eastAsia" w:ascii="楷体_GB2312" w:hAnsi="楷体_GB2312" w:eastAsia="楷体_GB2312" w:cs="楷体_GB2312"/>
          <w:color w:val="000000"/>
          <w:sz w:val="32"/>
          <w:szCs w:val="32"/>
        </w:rPr>
        <w:t>（责任单位：市住房和城乡建设局、滕建投资集团有限公司，完成时限：</w:t>
      </w:r>
      <w:r>
        <w:rPr>
          <w:rFonts w:ascii="楷体_GB2312" w:hAnsi="楷体_GB2312" w:eastAsia="楷体_GB2312" w:cs="楷体_GB2312"/>
          <w:color w:val="000000"/>
          <w:sz w:val="32"/>
          <w:szCs w:val="32"/>
        </w:rPr>
        <w:t>2020</w:t>
      </w:r>
      <w:r>
        <w:rPr>
          <w:rFonts w:hint="eastAsia" w:ascii="楷体_GB2312" w:hAnsi="楷体_GB2312" w:eastAsia="楷体_GB2312" w:cs="楷体_GB2312"/>
          <w:color w:val="000000"/>
          <w:sz w:val="32"/>
          <w:szCs w:val="32"/>
        </w:rPr>
        <w:t>年</w:t>
      </w:r>
      <w:r>
        <w:rPr>
          <w:rFonts w:ascii="楷体_GB2312" w:hAnsi="楷体_GB2312" w:eastAsia="楷体_GB2312" w:cs="楷体_GB2312"/>
          <w:color w:val="000000"/>
          <w:sz w:val="32"/>
          <w:szCs w:val="32"/>
        </w:rPr>
        <w:t>5</w:t>
      </w:r>
      <w:r>
        <w:rPr>
          <w:rFonts w:hint="eastAsia" w:ascii="楷体_GB2312" w:hAnsi="楷体_GB2312" w:eastAsia="楷体_GB2312" w:cs="楷体_GB2312"/>
          <w:color w:val="000000"/>
          <w:sz w:val="32"/>
          <w:szCs w:val="32"/>
        </w:rPr>
        <w:t>月底前）</w:t>
      </w:r>
      <w:r>
        <w:rPr>
          <w:rFonts w:hint="eastAsia" w:ascii="仿宋_GB2312" w:hAnsi="楷体_GB2312" w:eastAsia="仿宋_GB2312" w:cs="仿宋_GB2312"/>
          <w:color w:val="000000"/>
          <w:sz w:val="32"/>
          <w:szCs w:val="32"/>
        </w:rPr>
        <w:t>。完成鲁华物流至通盛路污水管网穿铁路连通工程。</w:t>
      </w:r>
      <w:r>
        <w:rPr>
          <w:rFonts w:hint="eastAsia" w:ascii="楷体_GB2312" w:hAnsi="楷体_GB2312" w:eastAsia="楷体_GB2312" w:cs="楷体_GB2312"/>
          <w:color w:val="000000"/>
          <w:spacing w:val="-11"/>
          <w:sz w:val="32"/>
          <w:szCs w:val="32"/>
        </w:rPr>
        <w:t>（责任单位：市综合行政执法局；完成时限：</w:t>
      </w:r>
      <w:r>
        <w:rPr>
          <w:rFonts w:ascii="楷体_GB2312" w:hAnsi="楷体_GB2312" w:eastAsia="楷体_GB2312" w:cs="楷体_GB2312"/>
          <w:color w:val="000000"/>
          <w:spacing w:val="-11"/>
          <w:sz w:val="32"/>
          <w:szCs w:val="32"/>
        </w:rPr>
        <w:t>2020</w:t>
      </w:r>
      <w:r>
        <w:rPr>
          <w:rFonts w:hint="eastAsia" w:ascii="楷体_GB2312" w:hAnsi="楷体_GB2312" w:eastAsia="楷体_GB2312" w:cs="楷体_GB2312"/>
          <w:color w:val="000000"/>
          <w:spacing w:val="-11"/>
          <w:sz w:val="32"/>
          <w:szCs w:val="32"/>
        </w:rPr>
        <w:t>年</w:t>
      </w:r>
      <w:r>
        <w:rPr>
          <w:rFonts w:ascii="楷体_GB2312" w:hAnsi="楷体_GB2312" w:eastAsia="楷体_GB2312" w:cs="楷体_GB2312"/>
          <w:color w:val="000000"/>
          <w:spacing w:val="-11"/>
          <w:sz w:val="32"/>
          <w:szCs w:val="32"/>
        </w:rPr>
        <w:t>4</w:t>
      </w:r>
      <w:r>
        <w:rPr>
          <w:rFonts w:hint="eastAsia" w:ascii="楷体_GB2312" w:hAnsi="楷体_GB2312" w:eastAsia="楷体_GB2312" w:cs="楷体_GB2312"/>
          <w:color w:val="000000"/>
          <w:spacing w:val="-11"/>
          <w:sz w:val="32"/>
          <w:szCs w:val="32"/>
        </w:rPr>
        <w:t>月中旬）</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黑体" w:hAnsi="黑体" w:eastAsia="黑体"/>
          <w:color w:val="000000"/>
          <w:sz w:val="32"/>
          <w:szCs w:val="32"/>
        </w:rPr>
      </w:pPr>
      <w:r>
        <w:rPr>
          <w:rFonts w:hint="eastAsia" w:ascii="黑体" w:hAnsi="黑体" w:eastAsia="黑体" w:cs="黑体"/>
          <w:color w:val="000000"/>
          <w:sz w:val="32"/>
          <w:szCs w:val="32"/>
        </w:rPr>
        <w:t>三、规范工业企业排水管理</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楷体_GB2312" w:hAnsi="仿宋_GB2312" w:eastAsia="楷体_GB2312" w:cs="楷体_GB2312"/>
          <w:color w:val="000000"/>
          <w:sz w:val="32"/>
          <w:szCs w:val="32"/>
        </w:rPr>
        <w:t>（一）加强企业废水排放监管。</w:t>
      </w:r>
      <w:r>
        <w:rPr>
          <w:rFonts w:hint="eastAsia" w:ascii="仿宋_GB2312" w:hAnsi="仿宋_GB2312" w:eastAsia="仿宋_GB2312" w:cs="仿宋_GB2312"/>
          <w:color w:val="000000"/>
          <w:sz w:val="32"/>
          <w:szCs w:val="32"/>
        </w:rPr>
        <w:t>电镀、化工、造纸、印染、玻璃加工、原料药制造（有工业废水处理资质且出水达到国家标准的原料药制造企业除外）等工业企业排放的含高浓度重金属或难以生化降解的废水，以及有关工业企业排放的强酸、强碱、高盐以及高氟废水（按照现行《流域水污染综合排放标准》执行：玻璃加工企业氟化物浓度限值为3mg/L，鲁南化工园区排放限值为1mg/L，污水处理厂排放限值2mg/L），不得排入城区污水管网。</w:t>
      </w:r>
      <w:r>
        <w:rPr>
          <w:rFonts w:hint="eastAsia" w:ascii="楷体_GB2312" w:hAnsi="楷体_GB2312" w:eastAsia="楷体_GB2312" w:cs="楷体_GB2312"/>
          <w:color w:val="000000"/>
          <w:sz w:val="32"/>
          <w:szCs w:val="32"/>
        </w:rPr>
        <w:t>（责任单位：枣庄市生态环境局滕州分局；完成时限：长期坚持）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楷体_GB2312" w:hAnsi="仿宋_GB2312" w:eastAsia="楷体_GB2312" w:cs="楷体_GB2312"/>
          <w:color w:val="000000"/>
          <w:sz w:val="32"/>
          <w:szCs w:val="32"/>
        </w:rPr>
        <w:t>（二）建立企业废水排放退出机制。</w:t>
      </w:r>
      <w:r>
        <w:rPr>
          <w:rFonts w:hint="eastAsia" w:ascii="仿宋_GB2312" w:hAnsi="仿宋_GB2312" w:eastAsia="仿宋_GB2312" w:cs="仿宋_GB2312"/>
          <w:color w:val="000000"/>
          <w:sz w:val="32"/>
          <w:szCs w:val="32"/>
        </w:rPr>
        <w:t>排水主管部门要对排入城市污水管网的工业企业进行排查，组织生态环境部门、污水处理专家、工业企业代表、城市污水处理厂等各方代表参加的专家论证会进行评估，经评估认定污染物不能被城市污水处理厂有效处理或可能影响出水稳定达标的，要限期退出。经评估可继续接入污水管网的，工业企业应当按照相关规定取得排污许可和排水许可。</w:t>
      </w:r>
      <w:r>
        <w:rPr>
          <w:rFonts w:hint="eastAsia" w:ascii="仿宋_GB2312" w:hAnsi="仿宋_GB2312" w:eastAsia="仿宋_GB2312" w:cs="仿宋_GB2312"/>
          <w:sz w:val="32"/>
          <w:szCs w:val="32"/>
        </w:rPr>
        <w:t>排水主管部门可在重点</w:t>
      </w:r>
      <w:r>
        <w:rPr>
          <w:rFonts w:hint="eastAsia" w:ascii="仿宋_GB2312" w:hAnsi="仿宋_GB2312" w:eastAsia="仿宋_GB2312" w:cs="仿宋_GB2312"/>
          <w:color w:val="000000"/>
          <w:sz w:val="32"/>
          <w:szCs w:val="32"/>
        </w:rPr>
        <w:t>工业企业排水管接入管网连接处，建设超标自动切断装置。</w:t>
      </w:r>
      <w:r>
        <w:rPr>
          <w:rFonts w:hint="eastAsia" w:ascii="楷体_GB2312" w:hAnsi="楷体_GB2312" w:eastAsia="楷体_GB2312" w:cs="楷体_GB2312"/>
          <w:color w:val="000000"/>
          <w:sz w:val="32"/>
          <w:szCs w:val="32"/>
        </w:rPr>
        <w:t>（责任单位：市城乡水务局、枣庄市生态环境局滕州分局、市工业和信息化局、市行政审批服务局；完成时限：长期坚持）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hint="eastAsia" w:ascii="楷体_GB2312" w:hAnsi="仿宋_GB2312" w:eastAsia="楷体_GB2312" w:cs="楷体_GB2312"/>
          <w:color w:val="000000"/>
          <w:sz w:val="32"/>
          <w:szCs w:val="32"/>
        </w:rPr>
        <w:t>（三）建立溯源追查和联动执法机制。</w:t>
      </w:r>
      <w:r>
        <w:rPr>
          <w:rFonts w:hint="eastAsia" w:ascii="仿宋_GB2312" w:hAnsi="仿宋_GB2312" w:eastAsia="仿宋_GB2312" w:cs="仿宋_GB2312"/>
          <w:color w:val="000000"/>
          <w:sz w:val="32"/>
          <w:szCs w:val="32"/>
        </w:rPr>
        <w:t>城市污水处理厂在发现进水指标浓度超标，或存在其他可能造成生化系统受损、影响出水水质的情形时，应立即向城市排水主管部门及生态环境部门报告。定期开展城市污水处理厂进、出水口水质监测，发现进水超标或收到污水处理厂相关情况报告时，立即联合开展溯源追查和执法，依法处罚超排、偷排等违法行为。</w:t>
      </w:r>
      <w:r>
        <w:rPr>
          <w:rFonts w:hint="eastAsia" w:ascii="楷体_GB2312" w:hAnsi="楷体_GB2312" w:eastAsia="楷体_GB2312" w:cs="楷体_GB2312"/>
          <w:color w:val="000000"/>
          <w:sz w:val="32"/>
          <w:szCs w:val="32"/>
        </w:rPr>
        <w:t>（责任单位：枣庄市生态环境局滕州分局、市</w:t>
      </w:r>
      <w:r>
        <w:rPr>
          <w:rFonts w:hint="eastAsia" w:ascii="楷体_GB2312" w:hAnsi="楷体_GB2312" w:eastAsia="楷体_GB2312" w:cs="楷体_GB2312"/>
          <w:color w:val="000000"/>
          <w:spacing w:val="-11"/>
          <w:sz w:val="32"/>
          <w:szCs w:val="32"/>
        </w:rPr>
        <w:t>城乡水务局、市公安局；完成时限：长期坚持）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黑体" w:hAnsi="黑体" w:eastAsia="黑体"/>
          <w:color w:val="000000"/>
          <w:sz w:val="32"/>
          <w:szCs w:val="32"/>
        </w:rPr>
      </w:pPr>
      <w:r>
        <w:rPr>
          <w:rFonts w:hint="eastAsia" w:ascii="黑体" w:hAnsi="黑体" w:eastAsia="黑体" w:cs="黑体"/>
          <w:color w:val="000000"/>
          <w:sz w:val="32"/>
          <w:szCs w:val="32"/>
        </w:rPr>
        <w:t>四、建立长效管理机制</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仿宋_GB2312" w:eastAsia="楷体_GB2312"/>
          <w:color w:val="000000"/>
          <w:sz w:val="32"/>
          <w:szCs w:val="32"/>
        </w:rPr>
      </w:pPr>
      <w:r>
        <w:rPr>
          <w:rFonts w:hint="eastAsia" w:ascii="楷体_GB2312" w:hAnsi="楷体_GB2312" w:eastAsia="楷体_GB2312" w:cs="楷体_GB2312"/>
          <w:color w:val="000000"/>
          <w:sz w:val="32"/>
          <w:szCs w:val="32"/>
        </w:rPr>
        <w:t>（一）</w:t>
      </w:r>
      <w:r>
        <w:rPr>
          <w:rFonts w:hint="eastAsia" w:ascii="楷体_GB2312" w:hAnsi="仿宋_GB2312" w:eastAsia="楷体_GB2312" w:cs="楷体_GB2312"/>
          <w:color w:val="000000"/>
          <w:sz w:val="32"/>
          <w:szCs w:val="32"/>
        </w:rPr>
        <w:t>强化城市排水维护管理</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800" w:firstLineChars="250"/>
        <w:rPr>
          <w:rFonts w:ascii="楷体_GB2312" w:hAnsi="楷体_GB2312" w:eastAsia="楷体_GB2312"/>
          <w:b/>
          <w:bCs/>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成立排水公司，承担城区排水管网的日常管理和运行维护，实行绩效考核、按效付费，提高排水管网管理和运行效能，实现公共排水设施专业化、一体化管理。排水管网运行维护主体要严格按照相关标准实施运行维护，根据管网特点、规模、服务范围等因素，确定人员配置和资金保障。</w:t>
      </w:r>
      <w:r>
        <w:rPr>
          <w:rFonts w:hint="eastAsia" w:ascii="楷体_GB2312" w:hAnsi="楷体_GB2312" w:eastAsia="楷体_GB2312" w:cs="楷体_GB2312"/>
          <w:color w:val="000000"/>
          <w:sz w:val="32"/>
          <w:szCs w:val="32"/>
        </w:rPr>
        <w:t>（责任单位：市城乡水务局；完成时限：</w:t>
      </w:r>
      <w:r>
        <w:rPr>
          <w:rFonts w:ascii="楷体_GB2312" w:hAnsi="楷体_GB2312" w:eastAsia="楷体_GB2312" w:cs="楷体_GB2312"/>
          <w:color w:val="000000"/>
          <w:sz w:val="32"/>
          <w:szCs w:val="32"/>
        </w:rPr>
        <w:t>2020</w:t>
      </w:r>
      <w:r>
        <w:rPr>
          <w:rFonts w:hint="eastAsia" w:ascii="楷体_GB2312" w:hAnsi="楷体_GB2312" w:eastAsia="楷体_GB2312" w:cs="楷体_GB2312"/>
          <w:color w:val="000000"/>
          <w:sz w:val="32"/>
          <w:szCs w:val="32"/>
        </w:rPr>
        <w:t>年底前）</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强化居民小区、公共建筑及企事业单位中水、净水机尾水监管，鼓励回用，禁止排入污水管网；改造其内部化粪池，鼓励有条件的新建居民小区、公共建筑和企事业单位，探索取消化粪池，提高城市污水处理厂进水可生化性。</w:t>
      </w:r>
      <w:r>
        <w:rPr>
          <w:rFonts w:hint="eastAsia" w:ascii="楷体_GB2312" w:hAnsi="楷体_GB2312" w:eastAsia="楷体_GB2312" w:cs="楷体_GB2312"/>
          <w:color w:val="000000"/>
          <w:sz w:val="32"/>
          <w:szCs w:val="32"/>
        </w:rPr>
        <w:t>（责任单位：市住房和城乡建设局；完成时限：长期坚持）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加强建设项目施工临时排水管理，大力推广实施“共享蓝管”基坑排水综合利用工程，将优质水资源就近排入接纳水体。</w:t>
      </w:r>
      <w:r>
        <w:rPr>
          <w:rFonts w:hint="eastAsia" w:ascii="楷体_GB2312" w:hAnsi="楷体_GB2312" w:eastAsia="楷体_GB2312" w:cs="楷体_GB2312"/>
          <w:color w:val="000000"/>
          <w:spacing w:val="-8"/>
          <w:kern w:val="32"/>
          <w:sz w:val="32"/>
          <w:szCs w:val="32"/>
        </w:rPr>
        <w:t>（责任单位：市城乡水务局；完成时限：长期坚持）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由排水公司定期对排水管网、检查井、城区河道进行清淤疏浚，确保排水管网内部积泥深度原则上不应超过管径的</w:t>
      </w:r>
      <w:r>
        <w:rPr>
          <w:rFonts w:ascii="仿宋_GB2312" w:hAnsi="仿宋_GB2312" w:eastAsia="仿宋_GB2312" w:cs="仿宋_GB2312"/>
          <w:color w:val="000000"/>
          <w:sz w:val="32"/>
          <w:szCs w:val="32"/>
        </w:rPr>
        <w:t>1/4</w:t>
      </w:r>
      <w:r>
        <w:rPr>
          <w:rFonts w:hint="eastAsia" w:ascii="仿宋_GB2312" w:hAnsi="仿宋_GB2312" w:eastAsia="仿宋_GB2312" w:cs="仿宋_GB2312"/>
          <w:color w:val="000000"/>
          <w:sz w:val="32"/>
          <w:szCs w:val="32"/>
        </w:rPr>
        <w:t>。</w:t>
      </w:r>
      <w:r>
        <w:rPr>
          <w:rFonts w:hint="eastAsia" w:ascii="楷体_GB2312" w:hAnsi="楷体_GB2312" w:eastAsia="楷体_GB2312" w:cs="楷体_GB2312"/>
          <w:color w:val="000000"/>
          <w:sz w:val="32"/>
          <w:szCs w:val="32"/>
        </w:rPr>
        <w:t>（责任单位：市城乡水务局；完成时限：长期坚持）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b/>
          <w:bCs/>
          <w:color w:val="000000"/>
          <w:sz w:val="32"/>
          <w:szCs w:val="32"/>
        </w:rPr>
      </w:pPr>
      <w:r>
        <w:rPr>
          <w:rFonts w:hint="eastAsia" w:ascii="楷体_GB2312" w:hAnsi="楷体_GB2312" w:eastAsia="楷体_GB2312" w:cs="楷体_GB2312"/>
          <w:color w:val="000000"/>
          <w:sz w:val="32"/>
          <w:szCs w:val="32"/>
        </w:rPr>
        <w:t>（二）建立健全制度体系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制定出台《滕州市排水管理办法》，健全完善排水规划建设、规范管理、安全维护、高效运行的制度化、常态化工作机制。</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spacing w:val="-8"/>
          <w:kern w:val="32"/>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建立健全生活污水应接尽接制度</w:t>
      </w:r>
      <w:r>
        <w:rPr>
          <w:rFonts w:hint="eastAsia" w:ascii="仿宋_GB2312" w:hAnsi="仿宋_GB2312" w:eastAsia="仿宋_GB2312" w:cs="仿宋_GB2312"/>
          <w:color w:val="000000"/>
          <w:sz w:val="32"/>
          <w:szCs w:val="32"/>
        </w:rPr>
        <w:t>。城市污水管网覆盖范围内的生活污水应当依法规范接入管网，严禁雨污混接错接，严禁小区或单位内部雨污混接或错接到城市排水管网，严禁污水直排，新建居民小区或公共建筑排水未规范接入城市排水管网的，不得交付使用，城市污水管网未覆盖的，应当依法建设污水处理设施，达标排放。</w:t>
      </w:r>
      <w:r>
        <w:rPr>
          <w:rFonts w:hint="eastAsia" w:ascii="楷体_GB2312" w:hAnsi="楷体_GB2312" w:eastAsia="楷体_GB2312" w:cs="楷体_GB2312"/>
          <w:color w:val="000000"/>
          <w:spacing w:val="-8"/>
          <w:kern w:val="32"/>
          <w:sz w:val="32"/>
          <w:szCs w:val="32"/>
        </w:rPr>
        <w:t>（责任单位：市自然资源局、市住房和城乡建设局、市城乡水务局；完成时限：长期坚持）</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建立健全“小散乱”规范管理制度</w:t>
      </w:r>
      <w:r>
        <w:rPr>
          <w:rFonts w:hint="eastAsia" w:ascii="仿宋_GB2312" w:hAnsi="仿宋_GB2312" w:eastAsia="仿宋_GB2312" w:cs="仿宋_GB2312"/>
          <w:color w:val="000000"/>
          <w:sz w:val="32"/>
          <w:szCs w:val="32"/>
        </w:rPr>
        <w:t>。整治沿街经营性单位和个体工商户污水乱排直排，结合市场整顿和经营许可管理，建立联合执法监督机制，督促整改。</w:t>
      </w:r>
      <w:r>
        <w:rPr>
          <w:rFonts w:hint="eastAsia" w:ascii="楷体_GB2312" w:hAnsi="楷体_GB2312" w:eastAsia="楷体_GB2312" w:cs="楷体_GB2312"/>
          <w:color w:val="000000"/>
          <w:sz w:val="32"/>
          <w:szCs w:val="32"/>
        </w:rPr>
        <w:t>（责任单位：枣庄市生态环境局滕州分局、市市场监督管理局、市综合行政执法局、市城乡水务局</w:t>
      </w:r>
      <w:r>
        <w:rPr>
          <w:rFonts w:hint="eastAsia" w:ascii="楷体_GB2312" w:hAnsi="楷体_GB2312" w:eastAsia="楷体_GB2312" w:cs="楷体_GB2312"/>
          <w:color w:val="000000"/>
          <w:spacing w:val="-8"/>
          <w:kern w:val="32"/>
          <w:sz w:val="32"/>
          <w:szCs w:val="32"/>
        </w:rPr>
        <w:t>；完成时限：长期坚持</w:t>
      </w:r>
      <w:r>
        <w:rPr>
          <w:rFonts w:hint="eastAsia" w:ascii="楷体_GB2312" w:hAnsi="楷体_GB2312" w:eastAsia="楷体_GB2312" w:cs="楷体_GB2312"/>
          <w:color w:val="000000"/>
          <w:sz w:val="32"/>
          <w:szCs w:val="32"/>
        </w:rPr>
        <w:t>）</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建立健全排水管网私搭乱接溯源执法制度</w:t>
      </w:r>
      <w:r>
        <w:rPr>
          <w:rFonts w:hint="eastAsia" w:ascii="仿宋_GB2312" w:hAnsi="仿宋_GB2312" w:eastAsia="仿宋_GB2312" w:cs="仿宋_GB2312"/>
          <w:color w:val="000000"/>
          <w:sz w:val="32"/>
          <w:szCs w:val="32"/>
        </w:rPr>
        <w:t>。严禁在城市排水管网上私搭乱接，杜绝工业企业通过雨水口、雨水管网违法排污，强化溯源追查执法，建立常态化工作机制。</w:t>
      </w:r>
      <w:r>
        <w:rPr>
          <w:rFonts w:hint="eastAsia" w:ascii="楷体_GB2312" w:hAnsi="楷体_GB2312" w:eastAsia="楷体_GB2312" w:cs="楷体_GB2312"/>
          <w:color w:val="000000"/>
          <w:sz w:val="32"/>
          <w:szCs w:val="32"/>
        </w:rPr>
        <w:t>（责任单位：市城乡水务局、枣庄市生态环境局滕州分局</w:t>
      </w:r>
      <w:r>
        <w:rPr>
          <w:rFonts w:hint="eastAsia" w:ascii="楷体_GB2312" w:hAnsi="楷体_GB2312" w:eastAsia="楷体_GB2312" w:cs="楷体_GB2312"/>
          <w:color w:val="000000"/>
          <w:spacing w:val="-8"/>
          <w:kern w:val="32"/>
          <w:sz w:val="32"/>
          <w:szCs w:val="32"/>
        </w:rPr>
        <w:t>；完成时限：长期坚持</w:t>
      </w:r>
      <w:r>
        <w:rPr>
          <w:rFonts w:hint="eastAsia" w:ascii="楷体_GB2312" w:hAnsi="楷体_GB2312" w:eastAsia="楷体_GB2312" w:cs="楷体_GB2312"/>
          <w:color w:val="000000"/>
          <w:sz w:val="32"/>
          <w:szCs w:val="32"/>
        </w:rPr>
        <w:t>）</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2" w:firstLineChars="200"/>
        <w:rPr>
          <w:rFonts w:ascii="楷体_GB2312" w:hAnsi="楷体_GB2312" w:eastAsia="楷体_GB2312"/>
          <w:color w:val="000000"/>
          <w:sz w:val="32"/>
          <w:szCs w:val="32"/>
        </w:rPr>
      </w:pPr>
      <w:r>
        <w:rPr>
          <w:rFonts w:ascii="仿宋_GB2312" w:hAnsi="仿宋_GB2312" w:eastAsia="仿宋_GB2312" w:cs="仿宋_GB2312"/>
          <w:b/>
          <w:bCs/>
          <w:color w:val="000000"/>
          <w:sz w:val="32"/>
          <w:szCs w:val="32"/>
        </w:rPr>
        <w:t>4.</w:t>
      </w:r>
      <w:r>
        <w:rPr>
          <w:rFonts w:hint="eastAsia" w:ascii="仿宋_GB2312" w:hAnsi="仿宋_GB2312" w:eastAsia="仿宋_GB2312" w:cs="仿宋_GB2312"/>
          <w:b/>
          <w:bCs/>
          <w:color w:val="000000"/>
          <w:sz w:val="32"/>
          <w:szCs w:val="32"/>
        </w:rPr>
        <w:t>完善河道水位与排水管网排水口协调制度</w:t>
      </w:r>
      <w:r>
        <w:rPr>
          <w:rFonts w:hint="eastAsia" w:ascii="仿宋_GB2312" w:hAnsi="仿宋_GB2312" w:eastAsia="仿宋_GB2312" w:cs="仿宋_GB2312"/>
          <w:color w:val="000000"/>
          <w:sz w:val="32"/>
          <w:szCs w:val="32"/>
        </w:rPr>
        <w:t>。合理控制河湖水体水位，妥善处理河湖水位与排水管网的关系，防止河水倒灌进入排水系统。施工降水或基坑排水排入雨水管网的，应纳入管理，明确排水接口位置和去向，严禁排入城镇污水处理厂。</w:t>
      </w:r>
      <w:r>
        <w:rPr>
          <w:rFonts w:hint="eastAsia" w:ascii="楷体_GB2312" w:hAnsi="楷体_GB2312" w:eastAsia="楷体_GB2312" w:cs="楷体_GB2312"/>
          <w:color w:val="000000"/>
          <w:sz w:val="32"/>
          <w:szCs w:val="32"/>
        </w:rPr>
        <w:t>（责任单位：市城乡水务局、市住房和城乡建设局）</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仿宋_GB2312" w:eastAsia="仿宋_GB2312"/>
          <w:color w:val="000000"/>
          <w:sz w:val="32"/>
          <w:szCs w:val="32"/>
        </w:rPr>
      </w:pPr>
      <w:r>
        <w:rPr>
          <w:rFonts w:hint="eastAsia" w:ascii="黑体" w:hAnsi="黑体" w:eastAsia="黑体" w:cs="黑体"/>
          <w:color w:val="000000"/>
          <w:sz w:val="32"/>
          <w:szCs w:val="32"/>
        </w:rPr>
        <w:t>五、完善激励支持政策</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shd w:val="clear" w:color="auto" w:fill="FFFFFF"/>
        </w:rPr>
      </w:pPr>
      <w:r>
        <w:rPr>
          <w:rStyle w:val="10"/>
          <w:rFonts w:hint="eastAsia" w:ascii="楷体_GB2312" w:hAnsi="楷体_GB2312" w:eastAsia="楷体_GB2312" w:cs="楷体_GB2312"/>
          <w:b w:val="0"/>
          <w:bCs w:val="0"/>
          <w:color w:val="000000"/>
          <w:sz w:val="32"/>
          <w:szCs w:val="32"/>
          <w:shd w:val="clear" w:color="auto" w:fill="FFFFFF"/>
        </w:rPr>
        <w:t>（一）加大资金投入。</w:t>
      </w:r>
      <w:r>
        <w:rPr>
          <w:rStyle w:val="10"/>
          <w:rFonts w:hint="eastAsia" w:ascii="仿宋_GB2312" w:hAnsi="仿宋_GB2312" w:eastAsia="仿宋_GB2312" w:cs="仿宋_GB2312"/>
          <w:b w:val="0"/>
          <w:bCs w:val="0"/>
          <w:color w:val="000000"/>
          <w:sz w:val="32"/>
          <w:szCs w:val="32"/>
          <w:shd w:val="clear" w:color="auto" w:fill="FFFFFF"/>
        </w:rPr>
        <w:t>多</w:t>
      </w:r>
      <w:r>
        <w:rPr>
          <w:rFonts w:hint="eastAsia" w:ascii="仿宋_GB2312" w:hAnsi="仿宋_GB2312" w:eastAsia="仿宋_GB2312" w:cs="仿宋_GB2312"/>
          <w:color w:val="000000"/>
          <w:sz w:val="32"/>
          <w:szCs w:val="32"/>
        </w:rPr>
        <w:t>渠道筹措资金，加大财政投入力度，整合污水管网建设资金及专项债券，保障城区污水处理提质增效工程顺利进行。</w:t>
      </w:r>
      <w:r>
        <w:rPr>
          <w:rFonts w:hint="eastAsia" w:ascii="仿宋_GB2312" w:hAnsi="仿宋_GB2312" w:eastAsia="仿宋_GB2312" w:cs="仿宋_GB2312"/>
          <w:color w:val="000000"/>
          <w:sz w:val="32"/>
          <w:szCs w:val="32"/>
          <w:shd w:val="clear" w:color="auto" w:fill="FFFFFF"/>
        </w:rPr>
        <w:t>鼓励金融机构依法依规为污水处理提质增效项目提供融资支持，吸引社会资本参与设施投资、建设和运营。</w:t>
      </w:r>
      <w:r>
        <w:rPr>
          <w:rFonts w:hint="eastAsia" w:ascii="楷体_GB2312" w:hAnsi="楷体_GB2312" w:eastAsia="楷体_GB2312" w:cs="楷体_GB2312"/>
          <w:color w:val="000000"/>
          <w:sz w:val="32"/>
          <w:szCs w:val="32"/>
          <w:shd w:val="clear" w:color="auto" w:fill="FFFFFF"/>
        </w:rPr>
        <w:t>（责任单位：市财政局、市发展和改革局）</w:t>
      </w:r>
    </w:p>
    <w:p>
      <w:pPr>
        <w:pStyle w:val="6"/>
        <w:widowControl w:val="0"/>
        <w:shd w:val="clear" w:color="auto" w:fill="FFFFFF"/>
        <w:overflowPunct w:val="0"/>
        <w:spacing w:before="0" w:beforeAutospacing="0" w:after="0" w:afterAutospacing="0" w:line="600" w:lineRule="exact"/>
        <w:ind w:firstLine="640" w:firstLineChars="200"/>
        <w:jc w:val="both"/>
        <w:rPr>
          <w:rFonts w:ascii="楷体_GB2312" w:hAnsi="楷体_GB2312" w:eastAsia="楷体_GB2312" w:cs="Times New Roman"/>
          <w:color w:val="000000"/>
          <w:sz w:val="32"/>
          <w:szCs w:val="32"/>
        </w:rPr>
      </w:pPr>
      <w:r>
        <w:rPr>
          <w:rStyle w:val="10"/>
          <w:rFonts w:hint="eastAsia" w:ascii="楷体_GB2312" w:hAnsi="楷体_GB2312" w:eastAsia="楷体_GB2312" w:cs="楷体_GB2312"/>
          <w:b w:val="0"/>
          <w:bCs w:val="0"/>
          <w:color w:val="000000"/>
          <w:sz w:val="32"/>
          <w:szCs w:val="32"/>
          <w:shd w:val="clear" w:color="auto" w:fill="FFFFFF"/>
        </w:rPr>
        <w:t>（二）建立污水处理费调整机制。</w:t>
      </w:r>
      <w:r>
        <w:rPr>
          <w:rFonts w:hint="eastAsia" w:ascii="仿宋_GB2312" w:hAnsi="仿宋_GB2312" w:eastAsia="仿宋_GB2312" w:cs="仿宋_GB2312"/>
          <w:color w:val="000000"/>
          <w:sz w:val="32"/>
          <w:szCs w:val="32"/>
        </w:rPr>
        <w:t>依据市场变化和专业机构评估核算，</w:t>
      </w:r>
      <w:r>
        <w:rPr>
          <w:rFonts w:hint="eastAsia" w:ascii="仿宋_GB2312" w:hAnsi="仿宋_GB2312" w:eastAsia="仿宋_GB2312" w:cs="仿宋_GB2312"/>
          <w:color w:val="000000"/>
          <w:sz w:val="32"/>
          <w:szCs w:val="32"/>
          <w:shd w:val="clear" w:color="auto" w:fill="FFFFFF"/>
        </w:rPr>
        <w:t>及时调整污水处理费收费标准，补偿污水处理和污泥处置设施正常运营成本</w:t>
      </w:r>
      <w:r>
        <w:rPr>
          <w:rFonts w:hint="eastAsia" w:ascii="仿宋_GB2312" w:hAnsi="仿宋" w:eastAsia="仿宋_GB2312" w:cs="仿宋_GB2312"/>
          <w:color w:val="000000"/>
          <w:sz w:val="32"/>
          <w:szCs w:val="32"/>
        </w:rPr>
        <w:t>，逐步健全污水处理服务费价格定期调整机制。</w:t>
      </w:r>
      <w:r>
        <w:rPr>
          <w:rFonts w:hint="eastAsia" w:ascii="仿宋_GB2312" w:hAnsi="仿宋_GB2312" w:eastAsia="仿宋_GB2312" w:cs="仿宋_GB2312"/>
          <w:color w:val="000000"/>
          <w:sz w:val="32"/>
          <w:szCs w:val="32"/>
          <w:shd w:val="clear" w:color="auto" w:fill="FFFFFF"/>
        </w:rPr>
        <w:t>统筹使用污水处理费与财政补贴资金，充分保障管网等收集设施运行维护资金。</w:t>
      </w:r>
      <w:r>
        <w:rPr>
          <w:rFonts w:hint="eastAsia" w:ascii="楷体_GB2312" w:hAnsi="楷体_GB2312" w:eastAsia="楷体_GB2312" w:cs="楷体_GB2312"/>
          <w:color w:val="000000"/>
          <w:sz w:val="32"/>
          <w:szCs w:val="32"/>
          <w:shd w:val="clear" w:color="auto" w:fill="FFFFFF"/>
        </w:rPr>
        <w:t>（责任单位：市城乡水务局、市财政局、市发展和改革局</w:t>
      </w:r>
      <w:r>
        <w:rPr>
          <w:rFonts w:ascii="楷体_GB2312" w:hAnsi="楷体_GB2312" w:eastAsia="楷体_GB2312" w:cs="楷体_GB2312"/>
          <w:color w:val="000000"/>
          <w:sz w:val="32"/>
          <w:szCs w:val="32"/>
          <w:shd w:val="clear" w:color="auto" w:fill="FFFFFF"/>
        </w:rPr>
        <w:t>)</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楷体_GB2312" w:hAnsi="楷体_GB2312" w:eastAsia="楷体_GB2312"/>
          <w:color w:val="000000"/>
          <w:sz w:val="32"/>
          <w:szCs w:val="32"/>
          <w:shd w:val="clear" w:color="auto" w:fill="FFFFFF"/>
        </w:rPr>
      </w:pPr>
      <w:r>
        <w:rPr>
          <w:rStyle w:val="10"/>
          <w:rFonts w:hint="eastAsia" w:ascii="楷体_GB2312" w:hAnsi="楷体_GB2312" w:eastAsia="楷体_GB2312" w:cs="楷体_GB2312"/>
          <w:b w:val="0"/>
          <w:bCs w:val="0"/>
          <w:color w:val="000000"/>
          <w:sz w:val="32"/>
          <w:szCs w:val="32"/>
          <w:shd w:val="clear" w:color="auto" w:fill="FFFFFF"/>
        </w:rPr>
        <w:t>（三）加强工程建设保障</w:t>
      </w:r>
      <w:r>
        <w:rPr>
          <w:rStyle w:val="10"/>
          <w:rFonts w:hint="eastAsia" w:ascii="楷体_GB2312" w:hAnsi="楷体_GB2312" w:eastAsia="楷体_GB2312" w:cs="楷体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rPr>
        <w:t>妥善做好城区管网建设改造涉及拆迁、征收和违章建筑拆除的相关工作，并结合工程建设项目行政审批制度改革，优化污水收集处理设施建设项目审批流程，精简审批环节，严格实行限时办结。</w:t>
      </w:r>
      <w:r>
        <w:rPr>
          <w:rFonts w:hint="eastAsia" w:ascii="楷体_GB2312" w:hAnsi="楷体_GB2312" w:eastAsia="楷体_GB2312" w:cs="楷体_GB2312"/>
          <w:color w:val="000000"/>
          <w:sz w:val="32"/>
          <w:szCs w:val="32"/>
          <w:shd w:val="clear" w:color="auto" w:fill="FFFFFF"/>
        </w:rPr>
        <w:t>（责任单位：市住房和城乡建设局、市综合行政执法局、市行政审批服务局）</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黑体" w:hAnsi="黑体" w:eastAsia="黑体"/>
          <w:color w:val="000000"/>
          <w:sz w:val="32"/>
          <w:szCs w:val="32"/>
        </w:rPr>
      </w:pPr>
      <w:r>
        <w:rPr>
          <w:rFonts w:hint="eastAsia" w:ascii="黑体" w:hAnsi="黑体" w:eastAsia="黑体" w:cs="黑体"/>
          <w:color w:val="000000"/>
          <w:kern w:val="0"/>
          <w:sz w:val="32"/>
          <w:szCs w:val="32"/>
        </w:rPr>
        <w:t>六、强化</w:t>
      </w:r>
      <w:r>
        <w:rPr>
          <w:rFonts w:hint="eastAsia" w:ascii="黑体" w:hAnsi="黑体" w:eastAsia="黑体" w:cs="黑体"/>
          <w:color w:val="000000"/>
          <w:sz w:val="32"/>
          <w:szCs w:val="32"/>
        </w:rPr>
        <w:t>责任落实</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line="600" w:lineRule="exact"/>
        <w:ind w:firstLine="640" w:firstLineChars="200"/>
        <w:rPr>
          <w:rFonts w:ascii="仿宋_GB2312" w:hAnsi="仿宋_GB2312" w:eastAsia="仿宋_GB2312"/>
          <w:color w:val="000000"/>
          <w:sz w:val="32"/>
          <w:szCs w:val="32"/>
        </w:rPr>
      </w:pPr>
      <w:r>
        <w:rPr>
          <w:rFonts w:hint="eastAsia" w:ascii="楷体_GB2312" w:hAnsi="仿宋_GB2312" w:eastAsia="楷体_GB2312" w:cs="楷体_GB2312"/>
          <w:color w:val="000000"/>
          <w:sz w:val="32"/>
          <w:szCs w:val="32"/>
        </w:rPr>
        <w:t>（一）加强组织领导</w:t>
      </w:r>
      <w:r>
        <w:rPr>
          <w:rFonts w:hint="eastAsia" w:ascii="楷体_GB2312" w:hAnsi="仿宋_GB2312" w:eastAsia="楷体_GB2312" w:cs="楷体_GB2312"/>
          <w:b/>
          <w:bCs/>
          <w:color w:val="000000"/>
          <w:sz w:val="32"/>
          <w:szCs w:val="32"/>
        </w:rPr>
        <w:t>。</w:t>
      </w:r>
      <w:r>
        <w:rPr>
          <w:rFonts w:hint="eastAsia" w:ascii="仿宋_GB2312" w:hAnsi="仿宋_GB2312" w:eastAsia="仿宋_GB2312" w:cs="仿宋_GB2312"/>
          <w:color w:val="000000"/>
          <w:sz w:val="32"/>
          <w:szCs w:val="32"/>
        </w:rPr>
        <w:t>成立城市污水处理提质增效三年行动领导小组，由市政府主要负责同志任组长，分管负责同志任副组长，发改、财政、住建、水务、生态环境、综合执法等部门以及相关镇街负责同志为成员，负责统筹推进城市污水处理提质增效三年行动。</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line="600" w:lineRule="exact"/>
        <w:ind w:firstLine="640" w:firstLineChars="200"/>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（二）落实责任分工</w:t>
      </w:r>
      <w:r>
        <w:rPr>
          <w:rFonts w:hint="eastAsia" w:ascii="楷体_GB2312" w:hAnsi="楷体_GB2312" w:eastAsia="楷体_GB2312" w:cs="楷体_GB2312"/>
          <w:b/>
          <w:bCs/>
          <w:color w:val="000000"/>
          <w:sz w:val="32"/>
          <w:szCs w:val="32"/>
        </w:rPr>
        <w:t>。</w:t>
      </w:r>
      <w:r>
        <w:rPr>
          <w:rFonts w:hint="eastAsia" w:ascii="仿宋_GB2312" w:hAnsi="仿宋_GB2312" w:eastAsia="仿宋_GB2312" w:cs="仿宋_GB2312"/>
          <w:color w:val="000000"/>
          <w:sz w:val="32"/>
          <w:szCs w:val="32"/>
        </w:rPr>
        <w:t>领导小组各成员单位要根据确定的城区生活污水集中收集率、污水处理厂进水生化需氧量（</w:t>
      </w:r>
      <w:r>
        <w:rPr>
          <w:rFonts w:ascii="仿宋_GB2312" w:hAnsi="仿宋_GB2312" w:eastAsia="仿宋_GB2312" w:cs="仿宋_GB2312"/>
          <w:color w:val="000000"/>
          <w:sz w:val="32"/>
          <w:szCs w:val="32"/>
        </w:rPr>
        <w:t>BOD</w:t>
      </w:r>
      <w:r>
        <w:rPr>
          <w:rFonts w:ascii="仿宋_GB2312" w:hAnsi="仿宋_GB2312" w:eastAsia="仿宋_GB2312" w:cs="仿宋_GB2312"/>
          <w:color w:val="000000"/>
          <w:sz w:val="32"/>
          <w:szCs w:val="32"/>
          <w:vertAlign w:val="subscript"/>
        </w:rPr>
        <w:t>5</w:t>
      </w:r>
      <w:r>
        <w:rPr>
          <w:rFonts w:hint="eastAsia" w:ascii="仿宋_GB2312" w:hAnsi="仿宋_GB2312" w:eastAsia="仿宋_GB2312" w:cs="仿宋_GB2312"/>
          <w:color w:val="000000"/>
          <w:sz w:val="32"/>
          <w:szCs w:val="32"/>
        </w:rPr>
        <w:t>）浓度等工作目标，制定推进措施和计划，切实形成建设和改造任务清单，按照既定的任务分工，各司其职、各负其责，确保履职尽责到位；同时，注重加强协调配合，建立联席会议制度，确保三年行动有序推进、取得实效。</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line="600" w:lineRule="exact"/>
        <w:ind w:firstLine="640" w:firstLineChars="200"/>
        <w:rPr>
          <w:rFonts w:ascii="仿宋_GB2312" w:hAnsi="仿宋_GB2312" w:eastAsia="仿宋_GB2312"/>
          <w:color w:val="000000"/>
          <w:kern w:val="0"/>
          <w:sz w:val="32"/>
          <w:szCs w:val="32"/>
        </w:rPr>
      </w:pPr>
      <w:r>
        <w:rPr>
          <w:rFonts w:hint="eastAsia" w:ascii="楷体_GB2312" w:hAnsi="楷体_GB2312" w:eastAsia="楷体_GB2312" w:cs="楷体_GB2312"/>
          <w:color w:val="000000"/>
          <w:sz w:val="32"/>
          <w:szCs w:val="32"/>
        </w:rPr>
        <w:t>（三）强化督导检查</w:t>
      </w:r>
      <w:r>
        <w:rPr>
          <w:rFonts w:hint="eastAsia" w:ascii="楷体_GB2312" w:hAnsi="楷体_GB2312" w:eastAsia="楷体_GB2312" w:cs="楷体_GB2312"/>
          <w:b/>
          <w:bCs/>
          <w:color w:val="000000"/>
          <w:sz w:val="32"/>
          <w:szCs w:val="32"/>
        </w:rPr>
        <w:t>。</w:t>
      </w:r>
      <w:r>
        <w:rPr>
          <w:rFonts w:hint="eastAsia" w:ascii="仿宋_GB2312" w:hAnsi="仿宋_GB2312" w:eastAsia="仿宋_GB2312" w:cs="仿宋_GB2312"/>
          <w:color w:val="000000"/>
          <w:sz w:val="32"/>
          <w:szCs w:val="32"/>
        </w:rPr>
        <w:t>市委市政府督办中心及领</w:t>
      </w:r>
      <w:r>
        <w:rPr>
          <w:rFonts w:hint="eastAsia" w:ascii="仿宋_GB2312" w:hAnsi="仿宋_GB2312" w:eastAsia="仿宋_GB2312" w:cs="仿宋_GB2312"/>
          <w:color w:val="000000"/>
          <w:kern w:val="0"/>
          <w:sz w:val="32"/>
          <w:szCs w:val="32"/>
        </w:rPr>
        <w:t>导小组办公室对城区污水处理提质增效三年行动进展情况，实行每月一调度、一通报，对进展缓慢的、责任落实不力的跟踪督办，推动三年行动快速有效开展。</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1918" w:leftChars="304" w:hanging="1280" w:hangingChars="400"/>
        <w:rPr>
          <w:rFonts w:ascii="仿宋_GB2312" w:hAnsi="仿宋_GB2312" w:eastAsia="仿宋_GB2312" w:cs="仿宋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1918" w:leftChars="304" w:hanging="1280" w:hangingChars="400"/>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附件：</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滕州市城市污水处理提质增效三年行动领导小组成员名单</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1916" w:leftChars="760" w:hanging="320" w:hangingChars="100"/>
        <w:rPr>
          <w:rFonts w:ascii="仿宋_GB2312" w:hAnsi="仿宋_GB2312" w:eastAsia="仿宋_GB2312" w:cs="仿宋_GB2312"/>
          <w:color w:val="000000"/>
          <w:kern w:val="32"/>
          <w:sz w:val="32"/>
          <w:szCs w:val="32"/>
        </w:rPr>
      </w:pPr>
      <w:r>
        <w:rPr>
          <w:rFonts w:ascii="仿宋_GB2312" w:hAnsi="仿宋_GB2312" w:eastAsia="仿宋_GB2312" w:cs="仿宋_GB2312"/>
          <w:color w:val="000000"/>
          <w:kern w:val="32"/>
          <w:sz w:val="32"/>
          <w:szCs w:val="32"/>
        </w:rPr>
        <w:t>2.</w:t>
      </w:r>
      <w:r>
        <w:rPr>
          <w:rFonts w:hint="eastAsia" w:ascii="仿宋_GB2312" w:hAnsi="仿宋_GB2312" w:eastAsia="仿宋_GB2312" w:cs="仿宋_GB2312"/>
          <w:color w:val="000000"/>
          <w:kern w:val="32"/>
          <w:sz w:val="32"/>
          <w:szCs w:val="32"/>
        </w:rPr>
        <w:t>滕州市城市污水处理提质增效三年行动建设项目计划表一</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1916" w:leftChars="760" w:hanging="320" w:hangingChars="100"/>
        <w:rPr>
          <w:rFonts w:ascii="仿宋_GB2312" w:hAnsi="仿宋_GB2312" w:eastAsia="仿宋_GB2312"/>
          <w:color w:val="000000"/>
          <w:kern w:val="32"/>
          <w:sz w:val="32"/>
          <w:szCs w:val="32"/>
        </w:rPr>
      </w:pPr>
      <w:r>
        <w:rPr>
          <w:rFonts w:hint="eastAsia" w:ascii="仿宋_GB2312" w:hAnsi="仿宋_GB2312" w:eastAsia="仿宋_GB2312" w:cs="仿宋_GB2312"/>
          <w:color w:val="000000"/>
          <w:kern w:val="32"/>
          <w:sz w:val="32"/>
          <w:szCs w:val="32"/>
        </w:rPr>
        <w:t>3</w:t>
      </w:r>
      <w:r>
        <w:rPr>
          <w:rFonts w:ascii="仿宋_GB2312" w:hAnsi="仿宋_GB2312" w:eastAsia="仿宋_GB2312" w:cs="仿宋_GB2312"/>
          <w:color w:val="000000"/>
          <w:kern w:val="32"/>
          <w:sz w:val="32"/>
          <w:szCs w:val="32"/>
        </w:rPr>
        <w:t>.</w:t>
      </w:r>
      <w:r>
        <w:rPr>
          <w:rFonts w:hint="eastAsia" w:ascii="仿宋_GB2312" w:hAnsi="仿宋_GB2312" w:eastAsia="仿宋_GB2312" w:cs="仿宋_GB2312"/>
          <w:color w:val="000000"/>
          <w:kern w:val="32"/>
          <w:sz w:val="32"/>
          <w:szCs w:val="32"/>
        </w:rPr>
        <w:t>滕州市城市污水处理提质增效三年行动建设项目计划表二</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line="600" w:lineRule="exact"/>
        <w:rPr>
          <w:rFonts w:ascii="仿宋_GB2312" w:hAnsi="仿宋_GB2312" w:eastAsia="仿宋_GB2312"/>
          <w:color w:val="000000"/>
          <w:kern w:val="0"/>
          <w:sz w:val="32"/>
          <w:szCs w:val="32"/>
        </w:rPr>
        <w:sectPr>
          <w:footerReference r:id="rId3" w:type="default"/>
          <w:footerReference r:id="rId4" w:type="even"/>
          <w:pgSz w:w="11906" w:h="16838"/>
          <w:pgMar w:top="1701" w:right="1701" w:bottom="1701" w:left="1701" w:header="851" w:footer="992" w:gutter="0"/>
          <w:pgNumType w:fmt="numberInDash"/>
          <w:cols w:space="720" w:num="1"/>
          <w:docGrid w:type="lines" w:linePitch="312" w:charSpace="0"/>
        </w:sect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right="640"/>
        <w:jc w:val="left"/>
        <w:rPr>
          <w:rFonts w:ascii="方正小标宋简体" w:hAnsi="华文中宋" w:eastAsia="方正小标宋简体"/>
          <w:color w:val="000000"/>
          <w:kern w:val="2"/>
          <w:sz w:val="44"/>
          <w:szCs w:val="44"/>
        </w:rPr>
      </w:pPr>
      <w:r>
        <w:rPr>
          <w:rFonts w:hint="eastAsia" w:ascii="黑体" w:hAnsi="黑体" w:eastAsia="黑体" w:cs="黑体"/>
          <w:color w:val="000000"/>
          <w:sz w:val="32"/>
          <w:szCs w:val="32"/>
        </w:rPr>
        <w:t>附件</w:t>
      </w:r>
      <w:r>
        <w:rPr>
          <w:rFonts w:ascii="黑体" w:hAnsi="黑体" w:eastAsia="黑体" w:cs="黑体"/>
          <w:color w:val="000000"/>
          <w:sz w:val="32"/>
          <w:szCs w:val="32"/>
        </w:rPr>
        <w:t>1</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right="640"/>
        <w:jc w:val="center"/>
        <w:rPr>
          <w:rFonts w:ascii="方正小标宋简体" w:hAnsi="华文中宋" w:eastAsia="方正小标宋简体" w:cs="方正小标宋简体"/>
          <w:color w:val="000000"/>
          <w:sz w:val="36"/>
          <w:szCs w:val="36"/>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right="640"/>
        <w:jc w:val="center"/>
        <w:rPr>
          <w:rFonts w:ascii="方正小标宋简体" w:hAnsi="华文中宋" w:eastAsia="方正小标宋简体"/>
          <w:color w:val="000000"/>
          <w:sz w:val="44"/>
          <w:szCs w:val="44"/>
        </w:rPr>
      </w:pPr>
      <w:r>
        <w:rPr>
          <w:rFonts w:hint="eastAsia" w:ascii="方正小标宋简体" w:hAnsi="华文中宋" w:eastAsia="方正小标宋简体" w:cs="方正小标宋简体"/>
          <w:color w:val="000000"/>
          <w:sz w:val="44"/>
          <w:szCs w:val="44"/>
        </w:rPr>
        <w:t>滕州市城市污水处理提质增效三年</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right="640"/>
        <w:jc w:val="center"/>
        <w:rPr>
          <w:rFonts w:ascii="华文中宋" w:hAnsi="华文中宋" w:eastAsia="方正小标宋简体"/>
          <w:color w:val="000000"/>
          <w:sz w:val="36"/>
          <w:szCs w:val="36"/>
        </w:rPr>
      </w:pPr>
      <w:r>
        <w:rPr>
          <w:rFonts w:hint="eastAsia" w:ascii="方正小标宋简体" w:hAnsi="华文中宋" w:eastAsia="方正小标宋简体" w:cs="方正小标宋简体"/>
          <w:color w:val="000000"/>
          <w:sz w:val="44"/>
          <w:szCs w:val="44"/>
        </w:rPr>
        <w:t>行动工作领导小组成员名单</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jc w:val="center"/>
        <w:rPr>
          <w:rFonts w:ascii="楷体_GB2312" w:eastAsia="楷体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新宋体" w:eastAsia="仿宋_GB2312"/>
          <w:color w:val="000000"/>
          <w:sz w:val="32"/>
          <w:szCs w:val="32"/>
        </w:rPr>
      </w:pPr>
      <w:r>
        <w:rPr>
          <w:rFonts w:hint="eastAsia" w:ascii="黑体" w:hAnsi="黑体" w:eastAsia="黑体" w:cs="黑体"/>
          <w:color w:val="000000"/>
          <w:kern w:val="2"/>
          <w:sz w:val="32"/>
          <w:szCs w:val="32"/>
        </w:rPr>
        <w:t>组  长：</w:t>
      </w:r>
      <w:r>
        <w:rPr>
          <w:rFonts w:hint="eastAsia" w:ascii="仿宋_GB2312" w:hAnsi="新宋体" w:eastAsia="仿宋_GB2312" w:cs="仿宋_GB2312"/>
          <w:color w:val="000000"/>
          <w:kern w:val="2"/>
          <w:sz w:val="32"/>
          <w:szCs w:val="32"/>
        </w:rPr>
        <w:t>马宏伟    市委副书记、市政府市长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宋体" w:eastAsia="仿宋_GB2312"/>
          <w:color w:val="000000"/>
          <w:sz w:val="32"/>
          <w:szCs w:val="32"/>
          <w:shd w:val="clear" w:color="auto" w:fill="FFFFFF"/>
        </w:rPr>
      </w:pPr>
      <w:r>
        <w:rPr>
          <w:rFonts w:hint="eastAsia" w:ascii="黑体" w:hAnsi="黑体" w:eastAsia="黑体" w:cs="黑体"/>
          <w:color w:val="000000"/>
          <w:kern w:val="2"/>
          <w:sz w:val="32"/>
          <w:szCs w:val="32"/>
        </w:rPr>
        <w:t>副组长：</w:t>
      </w:r>
      <w:r>
        <w:rPr>
          <w:rFonts w:hint="eastAsia" w:ascii="仿宋_GB2312" w:hAnsi="新宋体" w:eastAsia="仿宋_GB2312" w:cs="仿宋_GB2312"/>
          <w:color w:val="000000"/>
          <w:kern w:val="2"/>
          <w:sz w:val="32"/>
          <w:szCs w:val="32"/>
        </w:rPr>
        <w:t xml:space="preserve">康凤霞    </w:t>
      </w:r>
      <w:r>
        <w:rPr>
          <w:rFonts w:hint="eastAsia" w:ascii="仿宋_GB2312" w:hAnsi="宋体" w:eastAsia="仿宋_GB2312" w:cs="仿宋_GB2312"/>
          <w:color w:val="000000"/>
          <w:sz w:val="32"/>
          <w:szCs w:val="32"/>
          <w:shd w:val="clear" w:color="auto" w:fill="FFFFFF"/>
        </w:rPr>
        <w:t>市政府副市长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樊  猛    市政府副市长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jc w:val="left"/>
        <w:rPr>
          <w:rFonts w:ascii="黑体" w:hAnsi="黑体" w:eastAsia="黑体"/>
          <w:color w:val="000000"/>
          <w:kern w:val="2"/>
          <w:sz w:val="32"/>
          <w:szCs w:val="32"/>
        </w:rPr>
      </w:pPr>
      <w:r>
        <w:rPr>
          <w:rFonts w:hint="eastAsia" w:ascii="黑体" w:hAnsi="黑体" w:eastAsia="黑体" w:cs="黑体"/>
          <w:color w:val="000000"/>
          <w:kern w:val="2"/>
          <w:sz w:val="32"/>
          <w:szCs w:val="32"/>
        </w:rPr>
        <w:t>成  员：</w:t>
      </w:r>
      <w:r>
        <w:rPr>
          <w:rFonts w:hint="eastAsia" w:ascii="仿宋_GB2312" w:hAnsi="仿宋_GB2312" w:eastAsia="仿宋_GB2312" w:cs="仿宋_GB2312"/>
          <w:color w:val="000000"/>
          <w:kern w:val="2"/>
          <w:sz w:val="32"/>
          <w:szCs w:val="32"/>
        </w:rPr>
        <w:t>董鸿洋    市政府办公室主任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jc w:val="left"/>
        <w:rPr>
          <w:rFonts w:ascii="仿宋_GB2312" w:eastAsia="仿宋_GB2312"/>
          <w:color w:val="000000"/>
          <w:sz w:val="32"/>
          <w:szCs w:val="32"/>
        </w:rPr>
      </w:pPr>
      <w:r>
        <w:rPr>
          <w:rFonts w:hint="eastAsia" w:ascii="仿宋_GB2312" w:eastAsia="仿宋_GB2312" w:cs="仿宋_GB2312"/>
          <w:color w:val="000000"/>
          <w:kern w:val="2"/>
          <w:sz w:val="32"/>
          <w:szCs w:val="32"/>
        </w:rPr>
        <w:t>刘玉继    市委市政府督办中心主任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新宋体" w:eastAsia="仿宋_GB2312" w:cs="仿宋_GB2312"/>
          <w:color w:val="000000"/>
          <w:kern w:val="2"/>
          <w:sz w:val="32"/>
          <w:szCs w:val="32"/>
        </w:rPr>
        <w:t xml:space="preserve">翟传虎    </w:t>
      </w:r>
      <w:r>
        <w:rPr>
          <w:rFonts w:hint="eastAsia" w:ascii="仿宋_GB2312" w:hAnsi="宋体" w:eastAsia="仿宋_GB2312" w:cs="仿宋_GB2312"/>
          <w:color w:val="000000"/>
          <w:kern w:val="2"/>
          <w:sz w:val="32"/>
          <w:szCs w:val="32"/>
        </w:rPr>
        <w:t>市发展和改革局局长</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line="600" w:lineRule="exact"/>
        <w:ind w:firstLine="1904" w:firstLineChars="595"/>
        <w:rPr>
          <w:rFonts w:ascii="仿宋_GB2312" w:hAnsi="新宋体" w:eastAsia="仿宋_GB2312"/>
          <w:color w:val="000000"/>
          <w:kern w:val="2"/>
          <w:sz w:val="32"/>
          <w:szCs w:val="32"/>
        </w:rPr>
      </w:pPr>
      <w:r>
        <w:rPr>
          <w:rFonts w:hint="eastAsia" w:ascii="仿宋_GB2312" w:hAnsi="仿宋_GB2312" w:eastAsia="仿宋_GB2312" w:cs="仿宋_GB2312"/>
          <w:color w:val="000000"/>
          <w:sz w:val="32"/>
          <w:szCs w:val="32"/>
        </w:rPr>
        <w:t>王印德    市工业和信息化局局长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新宋体" w:eastAsia="仿宋_GB2312"/>
          <w:color w:val="000000"/>
          <w:kern w:val="2"/>
          <w:sz w:val="32"/>
          <w:szCs w:val="32"/>
        </w:rPr>
      </w:pPr>
      <w:r>
        <w:rPr>
          <w:rFonts w:hint="eastAsia" w:ascii="仿宋_GB2312" w:hAnsi="新宋体" w:eastAsia="仿宋_GB2312" w:cs="仿宋_GB2312"/>
          <w:color w:val="000000"/>
          <w:kern w:val="2"/>
          <w:sz w:val="32"/>
          <w:szCs w:val="32"/>
        </w:rPr>
        <w:t>孔繁华    市财政局局长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3193" w:leftChars="911" w:hanging="1280" w:hangingChars="400"/>
        <w:rPr>
          <w:rFonts w:ascii="黑体" w:hAnsi="黑体" w:eastAsia="黑体"/>
          <w:color w:val="000000"/>
          <w:kern w:val="2"/>
          <w:sz w:val="32"/>
          <w:szCs w:val="32"/>
        </w:rPr>
      </w:pPr>
      <w:r>
        <w:rPr>
          <w:rFonts w:hint="eastAsia" w:ascii="仿宋_GB2312" w:hAnsi="仿宋_GB2312" w:eastAsia="仿宋_GB2312" w:cs="仿宋_GB2312"/>
          <w:color w:val="000000"/>
          <w:sz w:val="32"/>
          <w:szCs w:val="32"/>
        </w:rPr>
        <w:t>马兆鹏    市自然资源局局长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TimesNewRoman" w:eastAsia="仿宋_GB2312"/>
          <w:color w:val="000000"/>
          <w:kern w:val="0"/>
          <w:sz w:val="32"/>
          <w:szCs w:val="32"/>
        </w:rPr>
      </w:pPr>
      <w:r>
        <w:rPr>
          <w:rFonts w:hint="eastAsia" w:ascii="仿宋_GB2312" w:hAnsi="TimesNewRoman" w:eastAsia="仿宋_GB2312" w:cs="仿宋_GB2312"/>
          <w:color w:val="000000"/>
          <w:kern w:val="0"/>
          <w:sz w:val="32"/>
          <w:szCs w:val="32"/>
        </w:rPr>
        <w:t>朱秋原    市住房和城乡建设局局长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新宋体" w:eastAsia="仿宋_GB2312"/>
          <w:color w:val="000000"/>
          <w:sz w:val="32"/>
          <w:szCs w:val="32"/>
        </w:rPr>
      </w:pPr>
      <w:r>
        <w:rPr>
          <w:rFonts w:hint="eastAsia" w:ascii="仿宋_GB2312" w:hAnsi="TimesNewRoman" w:eastAsia="仿宋_GB2312" w:cs="仿宋_GB2312"/>
          <w:color w:val="000000"/>
          <w:kern w:val="0"/>
          <w:sz w:val="32"/>
          <w:szCs w:val="32"/>
        </w:rPr>
        <w:t xml:space="preserve">李长瑞    </w:t>
      </w:r>
      <w:r>
        <w:rPr>
          <w:rFonts w:hint="eastAsia" w:ascii="仿宋_GB2312" w:hAnsi="新宋体" w:eastAsia="仿宋_GB2312" w:cs="仿宋_GB2312"/>
          <w:color w:val="000000"/>
          <w:kern w:val="2"/>
          <w:sz w:val="32"/>
          <w:szCs w:val="32"/>
        </w:rPr>
        <w:t>市城乡水务局局长</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napToGrid w:val="0"/>
        <w:spacing w:line="600" w:lineRule="exact"/>
        <w:ind w:firstLine="1920" w:firstLineChars="6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孙  勇    市行政审批服务局局长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张子玉    市市场监督管理局局长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仿宋_GB2312" w:eastAsia="仿宋_GB2312"/>
          <w:color w:val="000000"/>
          <w:kern w:val="2"/>
          <w:sz w:val="32"/>
          <w:szCs w:val="32"/>
        </w:rPr>
      </w:pPr>
      <w:r>
        <w:rPr>
          <w:rFonts w:hint="eastAsia" w:ascii="仿宋_GB2312" w:hAnsi="仿宋_GB2312" w:eastAsia="仿宋_GB2312" w:cs="仿宋_GB2312"/>
          <w:color w:val="000000"/>
          <w:kern w:val="2"/>
          <w:sz w:val="32"/>
          <w:szCs w:val="32"/>
        </w:rPr>
        <w:t>姜广涛    市综合行政执法局局长</w:t>
      </w:r>
    </w:p>
    <w:p>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napToGrid w:val="0"/>
        <w:spacing w:line="600" w:lineRule="exact"/>
        <w:ind w:firstLine="1920" w:firstLineChars="600"/>
        <w:rPr>
          <w:rFonts w:ascii="仿宋_GB2312" w:hAnsi="TimesNewRoman" w:eastAsia="仿宋_GB2312"/>
          <w:color w:val="000000"/>
          <w:kern w:val="0"/>
          <w:sz w:val="32"/>
          <w:szCs w:val="32"/>
        </w:rPr>
      </w:pPr>
      <w:r>
        <w:rPr>
          <w:rFonts w:hint="eastAsia" w:ascii="仿宋_GB2312" w:hAnsi="TimesNewRoman" w:eastAsia="仿宋_GB2312" w:cs="仿宋_GB2312"/>
          <w:color w:val="000000"/>
          <w:kern w:val="0"/>
          <w:sz w:val="32"/>
          <w:szCs w:val="32"/>
        </w:rPr>
        <w:t>赵忠宇    枣庄市生态环境局滕州分局局长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left="3193" w:leftChars="911" w:hanging="1280" w:hangingChars="400"/>
        <w:rPr>
          <w:rFonts w:ascii="仿宋_GB2312" w:hAnsi="仿宋_GB2312" w:eastAsia="仿宋_GB2312"/>
          <w:color w:val="000000"/>
          <w:sz w:val="32"/>
          <w:szCs w:val="32"/>
        </w:rPr>
      </w:pPr>
      <w:r>
        <w:rPr>
          <w:rFonts w:hint="eastAsia" w:ascii="仿宋_GB2312" w:hAnsi="仿宋_GB2312" w:eastAsia="仿宋_GB2312" w:cs="仿宋_GB2312"/>
          <w:color w:val="000000"/>
          <w:sz w:val="32"/>
          <w:szCs w:val="32"/>
        </w:rPr>
        <w:t>刘大勇    市公安局副局长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王  鹏    鲍沟镇镇长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赵曰海    东郭镇镇长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陈凡锋    东沙河镇镇长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李亚娟    洪绪镇镇长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张美林    姜屯镇镇长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s="仿宋_GB2312"/>
          <w:color w:val="000000"/>
          <w:kern w:val="2"/>
          <w:sz w:val="32"/>
          <w:szCs w:val="32"/>
        </w:rPr>
      </w:pPr>
      <w:r>
        <w:rPr>
          <w:rFonts w:hint="eastAsia" w:ascii="仿宋_GB2312" w:hAnsi="宋体" w:eastAsia="仿宋_GB2312" w:cs="仿宋_GB2312"/>
          <w:color w:val="000000"/>
          <w:kern w:val="2"/>
          <w:sz w:val="32"/>
          <w:szCs w:val="32"/>
        </w:rPr>
        <w:t>樊晓阳    南沙河镇镇长</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梁  刚    北辛街道办事处主任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赵联喜    荆河街道办事处主任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韩兴阔    龙泉街道办事处主任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1920" w:firstLineChars="600"/>
        <w:rPr>
          <w:rFonts w:ascii="仿宋_GB2312" w:hAnsi="宋体" w:eastAsia="仿宋_GB2312"/>
          <w:color w:val="000000"/>
          <w:kern w:val="2"/>
          <w:sz w:val="32"/>
          <w:szCs w:val="32"/>
        </w:rPr>
      </w:pPr>
      <w:r>
        <w:rPr>
          <w:rFonts w:hint="eastAsia" w:ascii="仿宋_GB2312" w:hAnsi="宋体" w:eastAsia="仿宋_GB2312" w:cs="仿宋_GB2312"/>
          <w:color w:val="000000"/>
          <w:kern w:val="2"/>
          <w:sz w:val="32"/>
          <w:szCs w:val="32"/>
        </w:rPr>
        <w:t>宗成伟    善南街道办事处主任</w:t>
      </w:r>
    </w:p>
    <w:p>
      <w:pPr>
        <w:pBdr>
          <w:top w:val="none" w:color="auto" w:sz="0" w:space="0"/>
          <w:left w:val="none" w:color="auto" w:sz="0" w:space="0"/>
          <w:bottom w:val="none" w:color="auto" w:sz="0" w:space="0"/>
          <w:right w:val="none" w:color="auto" w:sz="0" w:space="0"/>
          <w:between w:val="none" w:color="auto" w:sz="0" w:space="0"/>
        </w:pBdr>
        <w:overflowPunct w:val="0"/>
        <w:spacing w:line="600" w:lineRule="exact"/>
        <w:ind w:firstLine="640" w:firstLineChars="200"/>
        <w:rPr>
          <w:rFonts w:ascii="仿宋_GB2312" w:hAnsi="仿宋_GB2312" w:eastAsia="仿宋_GB2312"/>
          <w:color w:val="000000"/>
          <w:sz w:val="32"/>
          <w:szCs w:val="32"/>
        </w:rPr>
      </w:pPr>
      <w:r>
        <w:rPr>
          <w:rFonts w:hint="eastAsia" w:ascii="仿宋_GB2312" w:hAnsi="仿宋_GB2312" w:eastAsia="仿宋_GB2312" w:cs="仿宋_GB2312"/>
          <w:color w:val="000000"/>
          <w:kern w:val="2"/>
          <w:sz w:val="32"/>
          <w:szCs w:val="32"/>
        </w:rPr>
        <w:t>领导小组下设办公室，办公室设在市城乡水务局，办公室主任由李长瑞同志兼任。领导小组成员因职务变动或者分工变化需要进行调整的，由相应岗位人员自然递补，任务完成后自动撤销。</w:t>
      </w:r>
    </w:p>
    <w:p>
      <w:pPr>
        <w:pBdr>
          <w:top w:val="none" w:color="auto" w:sz="0" w:space="0"/>
          <w:left w:val="none" w:color="auto" w:sz="0" w:space="0"/>
          <w:bottom w:val="none" w:color="auto" w:sz="0" w:space="0"/>
          <w:right w:val="none" w:color="auto" w:sz="0" w:space="0"/>
          <w:between w:val="none" w:color="auto" w:sz="0" w:space="0"/>
        </w:pBdr>
        <w:spacing w:line="600" w:lineRule="exact"/>
        <w:ind w:firstLine="640" w:firstLineChars="200"/>
        <w:rPr>
          <w:rFonts w:ascii="仿宋_GB2312" w:hAnsi="仿宋_GB2312" w:eastAsia="仿宋_GB2312"/>
          <w:color w:val="000000"/>
          <w:sz w:val="32"/>
          <w:szCs w:val="32"/>
        </w:rPr>
        <w:sectPr>
          <w:pgSz w:w="11906" w:h="16838"/>
          <w:pgMar w:top="1701" w:right="1701" w:bottom="1701" w:left="1701" w:header="851" w:footer="992" w:gutter="0"/>
          <w:pgNumType w:fmt="numberInDash"/>
          <w:cols w:space="720" w:num="1"/>
          <w:docGrid w:type="lines" w:linePitch="312" w:charSpace="0"/>
        </w:sectPr>
      </w:pPr>
    </w:p>
    <w:tbl>
      <w:tblPr>
        <w:tblStyle w:val="7"/>
        <w:tblW w:w="14854" w:type="dxa"/>
        <w:jc w:val="center"/>
        <w:tblLayout w:type="fixed"/>
        <w:tblCellMar>
          <w:top w:w="0" w:type="dxa"/>
          <w:left w:w="108" w:type="dxa"/>
          <w:bottom w:w="0" w:type="dxa"/>
          <w:right w:w="108" w:type="dxa"/>
        </w:tblCellMar>
      </w:tblPr>
      <w:tblGrid>
        <w:gridCol w:w="722"/>
        <w:gridCol w:w="4187"/>
        <w:gridCol w:w="4556"/>
        <w:gridCol w:w="1269"/>
        <w:gridCol w:w="2233"/>
        <w:gridCol w:w="1887"/>
      </w:tblGrid>
      <w:tr>
        <w:tblPrEx>
          <w:tblCellMar>
            <w:top w:w="0" w:type="dxa"/>
            <w:left w:w="108" w:type="dxa"/>
            <w:bottom w:w="0" w:type="dxa"/>
            <w:right w:w="108" w:type="dxa"/>
          </w:tblCellMar>
        </w:tblPrEx>
        <w:trPr>
          <w:trHeight w:val="405" w:hRule="atLeast"/>
          <w:jc w:val="center"/>
        </w:trPr>
        <w:tc>
          <w:tcPr>
            <w:tcW w:w="14854" w:type="dxa"/>
            <w:gridSpan w:val="6"/>
            <w:tcBorders>
              <w:top w:val="nil"/>
              <w:left w:val="nil"/>
              <w:bottom w:val="nil"/>
              <w:right w:val="nil"/>
            </w:tcBorders>
            <w:noWrap/>
            <w:vAlign w:val="center"/>
          </w:tcPr>
          <w:p>
            <w:pPr>
              <w:pBdr>
                <w:top w:val="none" w:color="auto" w:sz="0" w:space="0"/>
                <w:left w:val="none" w:color="auto" w:sz="0" w:space="0"/>
                <w:bottom w:val="none" w:color="auto" w:sz="0" w:space="0"/>
                <w:right w:val="none" w:color="auto" w:sz="0" w:space="0"/>
                <w:between w:val="none" w:color="auto" w:sz="0" w:space="0"/>
              </w:pBdr>
              <w:spacing w:line="440" w:lineRule="exact"/>
              <w:rPr>
                <w:rFonts w:ascii="黑体" w:hAnsi="黑体" w:eastAsia="黑体"/>
                <w:color w:val="000000"/>
                <w:kern w:val="0"/>
                <w:sz w:val="32"/>
                <w:szCs w:val="32"/>
              </w:rPr>
            </w:pPr>
            <w:r>
              <w:rPr>
                <w:rFonts w:hint="eastAsia" w:ascii="黑体" w:hAnsi="黑体" w:eastAsia="黑体" w:cs="黑体"/>
                <w:color w:val="000000"/>
                <w:kern w:val="0"/>
                <w:sz w:val="32"/>
                <w:szCs w:val="32"/>
              </w:rPr>
              <w:t>附件</w:t>
            </w:r>
            <w:r>
              <w:rPr>
                <w:rFonts w:ascii="黑体" w:hAnsi="黑体" w:eastAsia="黑体" w:cs="黑体"/>
                <w:color w:val="000000"/>
                <w:kern w:val="0"/>
                <w:sz w:val="32"/>
                <w:szCs w:val="32"/>
              </w:rPr>
              <w:t>2</w:t>
            </w:r>
          </w:p>
        </w:tc>
      </w:tr>
      <w:tr>
        <w:tblPrEx>
          <w:tblCellMar>
            <w:top w:w="0" w:type="dxa"/>
            <w:left w:w="108" w:type="dxa"/>
            <w:bottom w:w="0" w:type="dxa"/>
            <w:right w:w="108" w:type="dxa"/>
          </w:tblCellMar>
        </w:tblPrEx>
        <w:trPr>
          <w:trHeight w:val="570" w:hRule="atLeast"/>
          <w:jc w:val="center"/>
        </w:trPr>
        <w:tc>
          <w:tcPr>
            <w:tcW w:w="14854" w:type="dxa"/>
            <w:gridSpan w:val="6"/>
            <w:tcBorders>
              <w:top w:val="nil"/>
              <w:left w:val="nil"/>
              <w:bottom w:val="single" w:color="000000" w:sz="4" w:space="0"/>
              <w:right w:val="nil"/>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440" w:lineRule="exact"/>
              <w:jc w:val="center"/>
              <w:rPr>
                <w:rFonts w:ascii="方正小标宋简体" w:hAnsi="宋体" w:eastAsia="方正小标宋简体"/>
                <w:color w:val="000000"/>
                <w:kern w:val="0"/>
                <w:sz w:val="44"/>
                <w:szCs w:val="44"/>
              </w:rPr>
            </w:pPr>
            <w:r>
              <w:rPr>
                <w:rFonts w:hint="eastAsia" w:ascii="方正小标宋简体" w:hAnsi="宋体" w:eastAsia="方正小标宋简体" w:cs="方正小标宋简体"/>
                <w:color w:val="000000"/>
                <w:kern w:val="0"/>
                <w:sz w:val="44"/>
                <w:szCs w:val="44"/>
              </w:rPr>
              <w:t>滕州市城市污水处理提质增效三年行动建设项目计划表一</w:t>
            </w:r>
          </w:p>
        </w:tc>
      </w:tr>
      <w:tr>
        <w:tblPrEx>
          <w:tblCellMar>
            <w:top w:w="0" w:type="dxa"/>
            <w:left w:w="108" w:type="dxa"/>
            <w:bottom w:w="0" w:type="dxa"/>
            <w:right w:w="108" w:type="dxa"/>
          </w:tblCellMar>
        </w:tblPrEx>
        <w:trPr>
          <w:trHeight w:val="574"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序号</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项目</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建设内容</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rPr>
                <w:rFonts w:ascii="黑体" w:hAnsi="黑体" w:eastAsia="黑体"/>
                <w:color w:val="000000"/>
                <w:kern w:val="0"/>
                <w:sz w:val="24"/>
                <w:szCs w:val="24"/>
              </w:rPr>
            </w:pPr>
            <w:r>
              <w:rPr>
                <w:rFonts w:hint="eastAsia" w:ascii="黑体" w:hAnsi="黑体" w:eastAsia="黑体" w:cs="黑体"/>
                <w:color w:val="000000"/>
                <w:kern w:val="0"/>
              </w:rPr>
              <w:t>投资估算（万元）</w:t>
            </w:r>
          </w:p>
        </w:tc>
        <w:tc>
          <w:tcPr>
            <w:tcW w:w="2233"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责任单位</w:t>
            </w:r>
          </w:p>
        </w:tc>
        <w:tc>
          <w:tcPr>
            <w:tcW w:w="18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完成时限</w:t>
            </w:r>
          </w:p>
        </w:tc>
      </w:tr>
      <w:tr>
        <w:tblPrEx>
          <w:tblCellMar>
            <w:top w:w="0" w:type="dxa"/>
            <w:left w:w="108" w:type="dxa"/>
            <w:bottom w:w="0" w:type="dxa"/>
            <w:right w:w="108" w:type="dxa"/>
          </w:tblCellMar>
        </w:tblPrEx>
        <w:trPr>
          <w:trHeight w:val="588"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pBdr>
                <w:top w:val="none" w:color="auto" w:sz="0" w:space="0"/>
                <w:left w:val="none" w:color="auto" w:sz="0" w:space="0"/>
                <w:bottom w:val="none" w:color="auto" w:sz="0" w:space="0"/>
                <w:right w:val="none" w:color="auto" w:sz="0" w:space="0"/>
                <w:between w:val="none" w:color="auto" w:sz="0" w:space="0"/>
              </w:pBd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通盛路（塔寺北路</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京沪铁路段）污水管网建设</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东起塔寺北路，西到京沪铁路，铺设污水管网</w:t>
            </w:r>
            <w:r>
              <w:rPr>
                <w:rFonts w:ascii="仿宋_GB2312" w:hAnsi="宋体" w:eastAsia="仿宋_GB2312" w:cs="仿宋_GB2312"/>
                <w:color w:val="000000"/>
                <w:kern w:val="0"/>
                <w:sz w:val="24"/>
                <w:szCs w:val="24"/>
              </w:rPr>
              <w:t>3</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1300</w:t>
            </w:r>
          </w:p>
        </w:tc>
        <w:tc>
          <w:tcPr>
            <w:tcW w:w="2233" w:type="dxa"/>
            <w:vMerge w:val="restart"/>
            <w:tcBorders>
              <w:top w:val="single" w:color="000000"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市综合行政执法局</w:t>
            </w:r>
          </w:p>
        </w:tc>
        <w:tc>
          <w:tcPr>
            <w:tcW w:w="1887" w:type="dxa"/>
            <w:vMerge w:val="restart"/>
            <w:tcBorders>
              <w:top w:val="single" w:color="000000"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hint="eastAsia" w:ascii="仿宋_GB2312" w:hAnsi="宋体" w:eastAsia="仿宋_GB2312"/>
                <w:color w:val="000000"/>
                <w:kern w:val="0"/>
                <w:sz w:val="22"/>
                <w:szCs w:val="22"/>
              </w:rPr>
              <w:t>2019年底前</w:t>
            </w:r>
          </w:p>
        </w:tc>
      </w:tr>
      <w:tr>
        <w:tblPrEx>
          <w:tblCellMar>
            <w:top w:w="0" w:type="dxa"/>
            <w:left w:w="108" w:type="dxa"/>
            <w:bottom w:w="0" w:type="dxa"/>
            <w:right w:w="108" w:type="dxa"/>
          </w:tblCellMar>
        </w:tblPrEx>
        <w:trPr>
          <w:trHeight w:val="631"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spacing w:val="-10"/>
                <w:kern w:val="0"/>
                <w:sz w:val="24"/>
                <w:szCs w:val="24"/>
              </w:rPr>
              <w:t>保通路污水管网建设工程</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spacing w:val="-10"/>
                <w:kern w:val="0"/>
                <w:sz w:val="24"/>
                <w:szCs w:val="24"/>
              </w:rPr>
            </w:pPr>
            <w:r>
              <w:rPr>
                <w:rFonts w:hint="eastAsia" w:ascii="仿宋_GB2312" w:hAnsi="宋体" w:eastAsia="仿宋_GB2312" w:cs="仿宋_GB2312"/>
                <w:color w:val="000000"/>
                <w:kern w:val="0"/>
                <w:sz w:val="24"/>
                <w:szCs w:val="24"/>
              </w:rPr>
              <w:t>北起荆河南岸，南到青啤大道（保通路与京台高速衔接处），建设管网</w:t>
            </w:r>
            <w:r>
              <w:rPr>
                <w:rFonts w:ascii="仿宋_GB2312" w:hAnsi="宋体" w:eastAsia="仿宋_GB2312" w:cs="仿宋_GB2312"/>
                <w:color w:val="000000"/>
                <w:kern w:val="0"/>
                <w:sz w:val="24"/>
                <w:szCs w:val="24"/>
              </w:rPr>
              <w:t>4.45</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1150</w:t>
            </w:r>
          </w:p>
        </w:tc>
        <w:tc>
          <w:tcPr>
            <w:tcW w:w="2233"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1887"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694"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3</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spacing w:val="-10"/>
                <w:kern w:val="0"/>
                <w:sz w:val="24"/>
                <w:szCs w:val="24"/>
              </w:rPr>
            </w:pPr>
            <w:r>
              <w:rPr>
                <w:rFonts w:hint="eastAsia" w:ascii="仿宋_GB2312" w:hAnsi="宋体" w:eastAsia="仿宋_GB2312" w:cs="仿宋_GB2312"/>
                <w:color w:val="000000"/>
                <w:spacing w:val="-10"/>
                <w:kern w:val="0"/>
                <w:sz w:val="24"/>
                <w:szCs w:val="24"/>
              </w:rPr>
              <w:t>小清河下游生态提升工程暨黑臭水体整治工程</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小清河大同桥到鲁班大道桥段，治理河道约</w:t>
            </w:r>
            <w:r>
              <w:rPr>
                <w:rFonts w:ascii="仿宋_GB2312" w:hAnsi="宋体" w:eastAsia="仿宋_GB2312" w:cs="仿宋_GB2312"/>
                <w:color w:val="000000"/>
                <w:kern w:val="0"/>
                <w:sz w:val="24"/>
                <w:szCs w:val="24"/>
              </w:rPr>
              <w:t>2.8</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2530</w:t>
            </w:r>
          </w:p>
        </w:tc>
        <w:tc>
          <w:tcPr>
            <w:tcW w:w="2233"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1887"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630"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4</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污水管网维修工程</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对二污管网及洪绪龙庄、张楼管网和溢流口，以及三污管网解放西路北侧段进行维修。</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300</w:t>
            </w:r>
          </w:p>
        </w:tc>
        <w:tc>
          <w:tcPr>
            <w:tcW w:w="2233" w:type="dxa"/>
            <w:vMerge w:val="continue"/>
            <w:tcBorders>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1887"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517"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5</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通盛路（文化路</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龙泉路段）管网建设</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文化路至龙泉路段，新建雨水管网</w:t>
            </w:r>
            <w:r>
              <w:rPr>
                <w:rFonts w:ascii="仿宋_GB2312" w:hAnsi="宋体" w:eastAsia="仿宋_GB2312" w:cs="仿宋_GB2312"/>
                <w:color w:val="000000"/>
                <w:kern w:val="0"/>
                <w:sz w:val="24"/>
                <w:szCs w:val="24"/>
              </w:rPr>
              <w:t>1</w:t>
            </w:r>
            <w:r>
              <w:rPr>
                <w:rFonts w:hint="eastAsia" w:ascii="仿宋_GB2312" w:hAnsi="宋体" w:eastAsia="仿宋_GB2312" w:cs="仿宋_GB2312"/>
                <w:color w:val="000000"/>
                <w:kern w:val="0"/>
                <w:sz w:val="24"/>
                <w:szCs w:val="24"/>
              </w:rPr>
              <w:t>公里米，单侧污水管网</w:t>
            </w:r>
            <w:r>
              <w:rPr>
                <w:rFonts w:ascii="仿宋_GB2312" w:hAnsi="宋体" w:eastAsia="仿宋_GB2312" w:cs="仿宋_GB2312"/>
                <w:color w:val="000000"/>
                <w:kern w:val="0"/>
                <w:sz w:val="24"/>
                <w:szCs w:val="24"/>
              </w:rPr>
              <w:t>0.5</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100</w:t>
            </w:r>
          </w:p>
        </w:tc>
        <w:tc>
          <w:tcPr>
            <w:tcW w:w="2233" w:type="dxa"/>
            <w:vMerge w:val="restart"/>
            <w:tcBorders>
              <w:top w:val="single" w:color="auto"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市住房和城乡建设局</w:t>
            </w:r>
          </w:p>
        </w:tc>
        <w:tc>
          <w:tcPr>
            <w:tcW w:w="1887"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643"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6</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文化北路（新华东路</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北辛路段）管网建设</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新华东路至北辛路段新建雨水管网</w:t>
            </w:r>
            <w:r>
              <w:rPr>
                <w:rFonts w:ascii="仿宋_GB2312" w:hAnsi="宋体" w:eastAsia="仿宋_GB2312" w:cs="仿宋_GB2312"/>
                <w:color w:val="000000"/>
                <w:kern w:val="0"/>
                <w:sz w:val="24"/>
                <w:szCs w:val="24"/>
              </w:rPr>
              <w:t>1.15</w:t>
            </w:r>
            <w:r>
              <w:rPr>
                <w:rFonts w:hint="eastAsia" w:ascii="仿宋_GB2312" w:hAnsi="宋体" w:eastAsia="仿宋_GB2312" w:cs="仿宋_GB2312"/>
                <w:color w:val="000000"/>
                <w:kern w:val="0"/>
                <w:sz w:val="24"/>
                <w:szCs w:val="24"/>
              </w:rPr>
              <w:t>公里，单侧污水管网</w:t>
            </w:r>
            <w:r>
              <w:rPr>
                <w:rFonts w:ascii="仿宋_GB2312" w:hAnsi="宋体" w:eastAsia="仿宋_GB2312" w:cs="仿宋_GB2312"/>
                <w:color w:val="000000"/>
                <w:kern w:val="0"/>
                <w:sz w:val="24"/>
                <w:szCs w:val="24"/>
              </w:rPr>
              <w:t>0.58</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115</w:t>
            </w:r>
          </w:p>
        </w:tc>
        <w:tc>
          <w:tcPr>
            <w:tcW w:w="2233" w:type="dxa"/>
            <w:vMerge w:val="continue"/>
            <w:tcBorders>
              <w:top w:val="single" w:color="auto" w:sz="4" w:space="0"/>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1887"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643"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7</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荆泉路（北辛路</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腾飞路）管网建设</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北辛路至腾飞路新建雨水管网</w:t>
            </w:r>
            <w:r>
              <w:rPr>
                <w:rFonts w:ascii="仿宋_GB2312" w:hAnsi="宋体" w:eastAsia="仿宋_GB2312" w:cs="仿宋_GB2312"/>
                <w:color w:val="000000"/>
                <w:kern w:val="0"/>
                <w:sz w:val="24"/>
                <w:szCs w:val="24"/>
              </w:rPr>
              <w:t>11.5</w:t>
            </w:r>
            <w:r>
              <w:rPr>
                <w:rFonts w:hint="eastAsia" w:ascii="仿宋_GB2312" w:hAnsi="宋体" w:eastAsia="仿宋_GB2312" w:cs="仿宋_GB2312"/>
                <w:color w:val="000000"/>
                <w:kern w:val="0"/>
                <w:sz w:val="24"/>
                <w:szCs w:val="24"/>
              </w:rPr>
              <w:t>公里，污水管网</w:t>
            </w:r>
            <w:r>
              <w:rPr>
                <w:rFonts w:ascii="仿宋_GB2312" w:hAnsi="宋体" w:eastAsia="仿宋_GB2312" w:cs="仿宋_GB2312"/>
                <w:color w:val="000000"/>
                <w:kern w:val="0"/>
                <w:sz w:val="24"/>
                <w:szCs w:val="24"/>
              </w:rPr>
              <w:t>5.8</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1154</w:t>
            </w:r>
          </w:p>
        </w:tc>
        <w:tc>
          <w:tcPr>
            <w:tcW w:w="2233" w:type="dxa"/>
            <w:vMerge w:val="continue"/>
            <w:tcBorders>
              <w:top w:val="single" w:color="auto" w:sz="4" w:space="0"/>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1887"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643"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8</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振兴路（荆河路</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城河污水管网）管网建设</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荆河路至城河新建污水管网</w:t>
            </w:r>
            <w:r>
              <w:rPr>
                <w:rFonts w:ascii="仿宋_GB2312" w:hAnsi="宋体" w:eastAsia="仿宋_GB2312" w:cs="仿宋_GB2312"/>
                <w:color w:val="000000"/>
                <w:kern w:val="0"/>
                <w:sz w:val="24"/>
                <w:szCs w:val="24"/>
              </w:rPr>
              <w:t>1.4</w:t>
            </w:r>
            <w:r>
              <w:rPr>
                <w:rFonts w:hint="eastAsia" w:ascii="仿宋_GB2312" w:hAnsi="宋体" w:eastAsia="仿宋_GB2312" w:cs="仿宋_GB2312"/>
                <w:color w:val="000000"/>
                <w:kern w:val="0"/>
                <w:sz w:val="24"/>
                <w:szCs w:val="24"/>
              </w:rPr>
              <w:t>公里，雨水管网</w:t>
            </w:r>
            <w:r>
              <w:rPr>
                <w:rFonts w:ascii="仿宋_GB2312" w:hAnsi="宋体" w:eastAsia="仿宋_GB2312" w:cs="仿宋_GB2312"/>
                <w:color w:val="000000"/>
                <w:kern w:val="0"/>
                <w:sz w:val="24"/>
                <w:szCs w:val="24"/>
              </w:rPr>
              <w:t>1.4</w:t>
            </w:r>
            <w:r>
              <w:rPr>
                <w:rFonts w:hint="eastAsia" w:ascii="仿宋_GB2312" w:hAnsi="宋体" w:eastAsia="仿宋_GB2312" w:cs="仿宋_GB2312"/>
                <w:color w:val="000000"/>
                <w:kern w:val="0"/>
                <w:sz w:val="24"/>
                <w:szCs w:val="24"/>
              </w:rPr>
              <w:t>公里。</w:t>
            </w: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196</w:t>
            </w:r>
          </w:p>
        </w:tc>
        <w:tc>
          <w:tcPr>
            <w:tcW w:w="2233" w:type="dxa"/>
            <w:vMerge w:val="continue"/>
            <w:tcBorders>
              <w:top w:val="single" w:color="auto" w:sz="4" w:space="0"/>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1887" w:type="dxa"/>
            <w:vMerge w:val="continue"/>
            <w:tcBorders>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526" w:hRule="atLeast"/>
          <w:jc w:val="center"/>
        </w:trPr>
        <w:tc>
          <w:tcPr>
            <w:tcW w:w="72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合计</w:t>
            </w:r>
          </w:p>
        </w:tc>
        <w:tc>
          <w:tcPr>
            <w:tcW w:w="41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p>
        </w:tc>
        <w:tc>
          <w:tcPr>
            <w:tcW w:w="455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rPr>
                <w:rFonts w:ascii="仿宋_GB2312" w:hAnsi="宋体" w:eastAsia="仿宋_GB2312"/>
                <w:color w:val="000000"/>
                <w:spacing w:val="-10"/>
                <w:kern w:val="0"/>
                <w:sz w:val="24"/>
                <w:szCs w:val="24"/>
              </w:rPr>
            </w:pPr>
          </w:p>
        </w:tc>
        <w:tc>
          <w:tcPr>
            <w:tcW w:w="1269"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6845</w:t>
            </w:r>
          </w:p>
        </w:tc>
        <w:tc>
          <w:tcPr>
            <w:tcW w:w="2233" w:type="dxa"/>
            <w:tcBorders>
              <w:top w:val="single" w:color="auto"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p>
        </w:tc>
        <w:tc>
          <w:tcPr>
            <w:tcW w:w="1887"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2"/>
                <w:szCs w:val="22"/>
              </w:rPr>
            </w:pPr>
          </w:p>
        </w:tc>
      </w:tr>
    </w:tbl>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80" w:lineRule="exact"/>
        <w:rPr>
          <w:rFonts w:ascii="仿宋_GB2312" w:hAnsi="仿宋_GB2312" w:eastAsia="仿宋_GB2312"/>
          <w:color w:val="00000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80" w:lineRule="exact"/>
        <w:rPr>
          <w:rFonts w:ascii="仿宋_GB2312" w:hAnsi="仿宋_GB2312" w:eastAsia="仿宋_GB2312"/>
          <w:color w:val="000000"/>
          <w:sz w:val="32"/>
          <w:szCs w:val="32"/>
        </w:rPr>
        <w:sectPr>
          <w:pgSz w:w="16838" w:h="11906" w:orient="landscape"/>
          <w:pgMar w:top="1701" w:right="1701" w:bottom="1701" w:left="1701" w:header="851" w:footer="992" w:gutter="0"/>
          <w:pgNumType w:fmt="numberInDash"/>
          <w:cols w:space="720" w:num="1"/>
          <w:docGrid w:type="lines" w:linePitch="312" w:charSpace="0"/>
        </w:sectPr>
      </w:pPr>
    </w:p>
    <w:tbl>
      <w:tblPr>
        <w:tblStyle w:val="7"/>
        <w:tblW w:w="14854" w:type="dxa"/>
        <w:jc w:val="center"/>
        <w:tblLayout w:type="fixed"/>
        <w:tblCellMar>
          <w:top w:w="0" w:type="dxa"/>
          <w:left w:w="108" w:type="dxa"/>
          <w:bottom w:w="0" w:type="dxa"/>
          <w:right w:w="108" w:type="dxa"/>
        </w:tblCellMar>
      </w:tblPr>
      <w:tblGrid>
        <w:gridCol w:w="555"/>
        <w:gridCol w:w="782"/>
        <w:gridCol w:w="5838"/>
        <w:gridCol w:w="4600"/>
        <w:gridCol w:w="816"/>
        <w:gridCol w:w="911"/>
        <w:gridCol w:w="1352"/>
      </w:tblGrid>
      <w:tr>
        <w:tblPrEx>
          <w:tblCellMar>
            <w:top w:w="0" w:type="dxa"/>
            <w:left w:w="108" w:type="dxa"/>
            <w:bottom w:w="0" w:type="dxa"/>
            <w:right w:w="108" w:type="dxa"/>
          </w:tblCellMar>
        </w:tblPrEx>
        <w:trPr>
          <w:trHeight w:val="405" w:hRule="atLeast"/>
          <w:jc w:val="center"/>
        </w:trPr>
        <w:tc>
          <w:tcPr>
            <w:tcW w:w="14854" w:type="dxa"/>
            <w:gridSpan w:val="7"/>
            <w:tcBorders>
              <w:top w:val="nil"/>
              <w:left w:val="nil"/>
              <w:bottom w:val="nil"/>
              <w:right w:val="nil"/>
            </w:tcBorders>
            <w:noWrap/>
            <w:vAlign w:val="center"/>
          </w:tcPr>
          <w:p>
            <w:pPr>
              <w:pBdr>
                <w:top w:val="none" w:color="auto" w:sz="0" w:space="0"/>
                <w:left w:val="none" w:color="auto" w:sz="0" w:space="0"/>
                <w:bottom w:val="none" w:color="auto" w:sz="0" w:space="0"/>
                <w:right w:val="none" w:color="auto" w:sz="0" w:space="0"/>
                <w:between w:val="none" w:color="auto" w:sz="0" w:space="0"/>
              </w:pBdr>
              <w:spacing w:line="440" w:lineRule="exact"/>
              <w:rPr>
                <w:rFonts w:ascii="黑体" w:hAnsi="黑体" w:eastAsia="黑体"/>
                <w:color w:val="000000"/>
                <w:kern w:val="0"/>
                <w:sz w:val="32"/>
                <w:szCs w:val="32"/>
              </w:rPr>
            </w:pPr>
            <w:r>
              <w:rPr>
                <w:rFonts w:hint="eastAsia" w:ascii="黑体" w:hAnsi="黑体" w:eastAsia="黑体" w:cs="黑体"/>
                <w:color w:val="000000"/>
                <w:kern w:val="0"/>
                <w:sz w:val="32"/>
                <w:szCs w:val="32"/>
              </w:rPr>
              <w:t>附件3</w:t>
            </w:r>
          </w:p>
        </w:tc>
      </w:tr>
      <w:tr>
        <w:tblPrEx>
          <w:tblCellMar>
            <w:top w:w="0" w:type="dxa"/>
            <w:left w:w="108" w:type="dxa"/>
            <w:bottom w:w="0" w:type="dxa"/>
            <w:right w:w="108" w:type="dxa"/>
          </w:tblCellMar>
        </w:tblPrEx>
        <w:trPr>
          <w:trHeight w:val="570" w:hRule="atLeast"/>
          <w:jc w:val="center"/>
        </w:trPr>
        <w:tc>
          <w:tcPr>
            <w:tcW w:w="14854" w:type="dxa"/>
            <w:gridSpan w:val="7"/>
            <w:tcBorders>
              <w:top w:val="nil"/>
              <w:left w:val="nil"/>
              <w:bottom w:val="single" w:color="000000" w:sz="4" w:space="0"/>
              <w:right w:val="nil"/>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440" w:lineRule="exact"/>
              <w:jc w:val="center"/>
              <w:rPr>
                <w:rFonts w:ascii="方正小标宋简体" w:hAnsi="宋体" w:eastAsia="方正小标宋简体"/>
                <w:color w:val="000000"/>
                <w:kern w:val="0"/>
                <w:sz w:val="44"/>
                <w:szCs w:val="44"/>
              </w:rPr>
            </w:pPr>
            <w:r>
              <w:rPr>
                <w:rFonts w:hint="eastAsia" w:ascii="方正小标宋简体" w:hAnsi="宋体" w:eastAsia="方正小标宋简体" w:cs="方正小标宋简体"/>
                <w:color w:val="000000"/>
                <w:kern w:val="0"/>
                <w:sz w:val="44"/>
                <w:szCs w:val="44"/>
              </w:rPr>
              <w:t>滕州市城市污水处理提质增效三年行动建设项目计划表二</w:t>
            </w:r>
          </w:p>
        </w:tc>
      </w:tr>
      <w:tr>
        <w:tblPrEx>
          <w:tblCellMar>
            <w:top w:w="0" w:type="dxa"/>
            <w:left w:w="108" w:type="dxa"/>
            <w:bottom w:w="0" w:type="dxa"/>
            <w:right w:w="108" w:type="dxa"/>
          </w:tblCellMar>
        </w:tblPrEx>
        <w:trPr>
          <w:trHeight w:val="634" w:hRule="atLeast"/>
          <w:jc w:val="center"/>
        </w:trPr>
        <w:tc>
          <w:tcPr>
            <w:tcW w:w="555"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序号</w:t>
            </w:r>
          </w:p>
        </w:tc>
        <w:tc>
          <w:tcPr>
            <w:tcW w:w="782"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项目</w:t>
            </w:r>
          </w:p>
        </w:tc>
        <w:tc>
          <w:tcPr>
            <w:tcW w:w="5838"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建设内容</w:t>
            </w:r>
          </w:p>
        </w:tc>
        <w:tc>
          <w:tcPr>
            <w:tcW w:w="4600"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必要性</w:t>
            </w:r>
          </w:p>
        </w:tc>
        <w:tc>
          <w:tcPr>
            <w:tcW w:w="816" w:type="dxa"/>
            <w:tcBorders>
              <w:top w:val="nil"/>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16"/>
                <w:szCs w:val="16"/>
              </w:rPr>
              <w:t>投资估算（万元）</w:t>
            </w:r>
          </w:p>
        </w:tc>
        <w:tc>
          <w:tcPr>
            <w:tcW w:w="911"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责任单位</w:t>
            </w:r>
          </w:p>
        </w:tc>
        <w:tc>
          <w:tcPr>
            <w:tcW w:w="1352"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完成</w:t>
            </w:r>
          </w:p>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黑体" w:hAnsi="黑体" w:eastAsia="黑体" w:cs="黑体"/>
                <w:color w:val="000000"/>
                <w:kern w:val="0"/>
                <w:sz w:val="24"/>
                <w:szCs w:val="24"/>
              </w:rPr>
              <w:t>时限</w:t>
            </w:r>
          </w:p>
        </w:tc>
      </w:tr>
      <w:tr>
        <w:tblPrEx>
          <w:tblCellMar>
            <w:top w:w="0" w:type="dxa"/>
            <w:left w:w="108" w:type="dxa"/>
            <w:bottom w:w="0" w:type="dxa"/>
            <w:right w:w="108" w:type="dxa"/>
          </w:tblCellMar>
        </w:tblPrEx>
        <w:trPr>
          <w:trHeight w:val="574" w:hRule="atLeast"/>
          <w:jc w:val="center"/>
        </w:trPr>
        <w:tc>
          <w:tcPr>
            <w:tcW w:w="555" w:type="dxa"/>
            <w:vMerge w:val="restart"/>
            <w:tcBorders>
              <w:top w:val="nil"/>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s="黑体"/>
                <w:color w:val="000000"/>
                <w:kern w:val="0"/>
                <w:sz w:val="24"/>
                <w:szCs w:val="24"/>
              </w:rPr>
            </w:pPr>
            <w:r>
              <w:rPr>
                <w:rFonts w:ascii="黑体" w:hAnsi="黑体" w:eastAsia="黑体" w:cs="黑体"/>
                <w:color w:val="000000"/>
                <w:kern w:val="0"/>
                <w:sz w:val="24"/>
                <w:szCs w:val="24"/>
              </w:rPr>
              <w:t>1</w:t>
            </w:r>
          </w:p>
        </w:tc>
        <w:tc>
          <w:tcPr>
            <w:tcW w:w="782" w:type="dxa"/>
            <w:vMerge w:val="restart"/>
            <w:tcBorders>
              <w:top w:val="nil"/>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r>
              <w:rPr>
                <w:rFonts w:hint="eastAsia" w:ascii="仿宋_GB2312" w:hAnsi="宋体" w:eastAsia="仿宋_GB2312" w:cs="仿宋_GB2312"/>
                <w:color w:val="000000"/>
                <w:kern w:val="0"/>
                <w:sz w:val="24"/>
                <w:szCs w:val="24"/>
              </w:rPr>
              <w:t>荆河内污水管网退河上岸</w:t>
            </w:r>
          </w:p>
        </w:tc>
        <w:tc>
          <w:tcPr>
            <w:tcW w:w="5838"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left"/>
              <w:rPr>
                <w:rFonts w:ascii="黑体" w:hAnsi="黑体" w:eastAsia="黑体"/>
                <w:color w:val="000000"/>
                <w:kern w:val="0"/>
                <w:sz w:val="24"/>
                <w:szCs w:val="24"/>
              </w:rPr>
            </w:pPr>
            <w:r>
              <w:rPr>
                <w:rFonts w:hint="eastAsia" w:ascii="仿宋_GB2312" w:hAnsi="宋体" w:eastAsia="仿宋_GB2312" w:cs="仿宋_GB2312"/>
                <w:color w:val="000000"/>
                <w:kern w:val="0"/>
                <w:sz w:val="24"/>
                <w:szCs w:val="24"/>
              </w:rPr>
              <w:t>①将龙泉大桥至解放大桥段盖板渠污水管网改造为钢筋混凝土管套玻璃钢夹砂管，长度约</w:t>
            </w:r>
            <w:r>
              <w:rPr>
                <w:rFonts w:ascii="仿宋_GB2312" w:hAnsi="宋体" w:eastAsia="仿宋_GB2312" w:cs="仿宋_GB2312"/>
                <w:color w:val="000000"/>
                <w:kern w:val="0"/>
                <w:sz w:val="24"/>
                <w:szCs w:val="24"/>
              </w:rPr>
              <w:t>1.1</w:t>
            </w:r>
            <w:r>
              <w:rPr>
                <w:rFonts w:hint="eastAsia" w:ascii="仿宋_GB2312" w:hAnsi="宋体" w:eastAsia="仿宋_GB2312" w:cs="仿宋_GB2312"/>
                <w:color w:val="000000"/>
                <w:kern w:val="0"/>
                <w:sz w:val="24"/>
                <w:szCs w:val="24"/>
              </w:rPr>
              <w:t>公里。</w:t>
            </w:r>
          </w:p>
        </w:tc>
        <w:tc>
          <w:tcPr>
            <w:tcW w:w="4600" w:type="dxa"/>
            <w:vMerge w:val="restart"/>
            <w:tcBorders>
              <w:top w:val="nil"/>
              <w:left w:val="single" w:color="000000"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黑体" w:hAnsi="黑体" w:eastAsia="仿宋_GB2312"/>
                <w:color w:val="000000"/>
                <w:kern w:val="0"/>
                <w:sz w:val="24"/>
                <w:szCs w:val="24"/>
              </w:rPr>
            </w:pPr>
            <w:r>
              <w:rPr>
                <w:rFonts w:hint="eastAsia" w:ascii="仿宋_GB2312" w:hAnsi="宋体" w:eastAsia="仿宋_GB2312" w:cs="仿宋_GB2312"/>
                <w:color w:val="000000"/>
                <w:kern w:val="0"/>
                <w:sz w:val="24"/>
                <w:szCs w:val="24"/>
              </w:rPr>
              <w:t>城区污水管网部分建设在河道内，由于建设时间长，存在坍塌、渗水、漏水的风险，造成污水外溢、河水倒灌，增加污水处理厂负荷，橡胶坝不能正常蓄水，实施管网退河上岸可彻底解决管网溢流，压解污水处理负荷，确保蓄水深度和水面连续，并结合城河三座钢闸坝迁建，打造河道生态景观和城市良好滨水环境。</w:t>
            </w:r>
          </w:p>
        </w:tc>
        <w:tc>
          <w:tcPr>
            <w:tcW w:w="816" w:type="dxa"/>
            <w:tcBorders>
              <w:top w:val="single" w:color="auto" w:sz="4" w:space="0"/>
              <w:left w:val="single" w:color="auto" w:sz="4" w:space="0"/>
              <w:bottom w:val="single" w:color="auto"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16"/>
                <w:szCs w:val="16"/>
              </w:rPr>
            </w:pPr>
            <w:r>
              <w:rPr>
                <w:rFonts w:ascii="仿宋_GB2312" w:hAnsi="宋体" w:eastAsia="仿宋_GB2312" w:cs="仿宋_GB2312"/>
                <w:color w:val="000000"/>
                <w:kern w:val="0"/>
                <w:sz w:val="24"/>
                <w:szCs w:val="24"/>
              </w:rPr>
              <w:t>600</w:t>
            </w:r>
          </w:p>
        </w:tc>
        <w:tc>
          <w:tcPr>
            <w:tcW w:w="911" w:type="dxa"/>
            <w:vMerge w:val="restart"/>
            <w:tcBorders>
              <w:top w:val="nil"/>
              <w:left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市综合行政执法局</w:t>
            </w:r>
          </w:p>
        </w:tc>
        <w:tc>
          <w:tcPr>
            <w:tcW w:w="1352" w:type="dxa"/>
            <w:vMerge w:val="restart"/>
            <w:tcBorders>
              <w:top w:val="nil"/>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2020</w:t>
            </w:r>
            <w:r>
              <w:rPr>
                <w:rFonts w:hint="eastAsia" w:ascii="仿宋_GB2312" w:hAnsi="宋体" w:eastAsia="仿宋_GB2312" w:cs="仿宋_GB2312"/>
                <w:color w:val="000000"/>
                <w:kern w:val="0"/>
                <w:sz w:val="24"/>
                <w:szCs w:val="24"/>
              </w:rPr>
              <w:t>年</w:t>
            </w:r>
          </w:p>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hint="eastAsia" w:ascii="仿宋_GB2312" w:hAnsi="宋体" w:eastAsia="仿宋_GB2312" w:cs="仿宋_GB2312"/>
                <w:color w:val="000000"/>
                <w:kern w:val="0"/>
                <w:sz w:val="24"/>
                <w:szCs w:val="24"/>
              </w:rPr>
              <w:t>底前</w:t>
            </w:r>
          </w:p>
        </w:tc>
      </w:tr>
      <w:tr>
        <w:tblPrEx>
          <w:tblCellMar>
            <w:top w:w="0" w:type="dxa"/>
            <w:left w:w="108" w:type="dxa"/>
            <w:bottom w:w="0" w:type="dxa"/>
            <w:right w:w="108" w:type="dxa"/>
          </w:tblCellMar>
        </w:tblPrEx>
        <w:trPr>
          <w:trHeight w:val="484" w:hRule="atLeast"/>
          <w:jc w:val="center"/>
        </w:trPr>
        <w:tc>
          <w:tcPr>
            <w:tcW w:w="555"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p>
        </w:tc>
        <w:tc>
          <w:tcPr>
            <w:tcW w:w="782"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p>
        </w:tc>
        <w:tc>
          <w:tcPr>
            <w:tcW w:w="5838"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left"/>
              <w:rPr>
                <w:rFonts w:ascii="黑体" w:hAnsi="黑体" w:eastAsia="黑体"/>
                <w:color w:val="000000"/>
                <w:kern w:val="0"/>
                <w:sz w:val="24"/>
                <w:szCs w:val="24"/>
              </w:rPr>
            </w:pPr>
            <w:r>
              <w:rPr>
                <w:rFonts w:hint="eastAsia" w:ascii="仿宋_GB2312" w:hAnsi="宋体" w:eastAsia="仿宋_GB2312" w:cs="仿宋_GB2312"/>
                <w:color w:val="000000"/>
                <w:kern w:val="0"/>
                <w:sz w:val="24"/>
                <w:szCs w:val="24"/>
              </w:rPr>
              <w:t>②实施茂源大桥</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荆河桥段污水管网退河上岸工程，长度约</w:t>
            </w:r>
            <w:r>
              <w:rPr>
                <w:rFonts w:ascii="仿宋_GB2312" w:hAnsi="宋体" w:eastAsia="仿宋_GB2312" w:cs="仿宋_GB2312"/>
                <w:color w:val="000000"/>
                <w:kern w:val="0"/>
                <w:sz w:val="24"/>
                <w:szCs w:val="24"/>
              </w:rPr>
              <w:t>0.41</w:t>
            </w:r>
            <w:r>
              <w:rPr>
                <w:rFonts w:hint="eastAsia" w:ascii="仿宋_GB2312" w:hAnsi="宋体" w:eastAsia="仿宋_GB2312" w:cs="仿宋_GB2312"/>
                <w:color w:val="000000"/>
                <w:kern w:val="0"/>
                <w:sz w:val="24"/>
                <w:szCs w:val="24"/>
              </w:rPr>
              <w:t>公里。</w:t>
            </w:r>
          </w:p>
        </w:tc>
        <w:tc>
          <w:tcPr>
            <w:tcW w:w="4600" w:type="dxa"/>
            <w:vMerge w:val="continue"/>
            <w:tcBorders>
              <w:left w:val="single" w:color="000000"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p>
        </w:tc>
        <w:tc>
          <w:tcPr>
            <w:tcW w:w="816" w:type="dxa"/>
            <w:tcBorders>
              <w:top w:val="single" w:color="auto" w:sz="4" w:space="0"/>
              <w:left w:val="single" w:color="auto" w:sz="4" w:space="0"/>
              <w:bottom w:val="single" w:color="auto"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16"/>
                <w:szCs w:val="16"/>
              </w:rPr>
            </w:pPr>
            <w:r>
              <w:rPr>
                <w:rFonts w:ascii="仿宋_GB2312" w:hAnsi="宋体" w:eastAsia="仿宋_GB2312" w:cs="仿宋_GB2312"/>
                <w:color w:val="000000"/>
                <w:kern w:val="0"/>
                <w:sz w:val="24"/>
                <w:szCs w:val="24"/>
              </w:rPr>
              <w:t>500</w:t>
            </w:r>
          </w:p>
        </w:tc>
        <w:tc>
          <w:tcPr>
            <w:tcW w:w="911" w:type="dxa"/>
            <w:vMerge w:val="continue"/>
            <w:tcBorders>
              <w:left w:val="single" w:color="auto"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p>
        </w:tc>
        <w:tc>
          <w:tcPr>
            <w:tcW w:w="1352"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jc w:val="center"/>
              <w:rPr>
                <w:rFonts w:ascii="黑体" w:hAnsi="黑体" w:eastAsia="黑体"/>
                <w:color w:val="000000"/>
                <w:kern w:val="0"/>
                <w:sz w:val="24"/>
                <w:szCs w:val="24"/>
              </w:rPr>
            </w:pPr>
          </w:p>
        </w:tc>
      </w:tr>
      <w:tr>
        <w:tblPrEx>
          <w:tblCellMar>
            <w:top w:w="0" w:type="dxa"/>
            <w:left w:w="108" w:type="dxa"/>
            <w:bottom w:w="0" w:type="dxa"/>
            <w:right w:w="108" w:type="dxa"/>
          </w:tblCellMar>
        </w:tblPrEx>
        <w:trPr>
          <w:trHeight w:val="356" w:hRule="atLeast"/>
          <w:jc w:val="center"/>
        </w:trPr>
        <w:tc>
          <w:tcPr>
            <w:tcW w:w="555"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spacing w:val="-10"/>
                <w:kern w:val="0"/>
                <w:sz w:val="24"/>
                <w:szCs w:val="24"/>
              </w:rPr>
            </w:pPr>
            <w:r>
              <w:rPr>
                <w:rFonts w:hint="eastAsia" w:ascii="仿宋_GB2312" w:hAnsi="宋体" w:eastAsia="仿宋_GB2312" w:cs="仿宋_GB2312"/>
                <w:color w:val="000000"/>
                <w:spacing w:val="-10"/>
                <w:kern w:val="0"/>
                <w:sz w:val="24"/>
                <w:szCs w:val="24"/>
              </w:rPr>
              <w:t>③实施荆河桥至滕南橡胶坝改建污水管网</w:t>
            </w:r>
            <w:r>
              <w:rPr>
                <w:rFonts w:ascii="仿宋_GB2312" w:hAnsi="宋体" w:eastAsia="仿宋_GB2312" w:cs="仿宋_GB2312"/>
                <w:color w:val="000000"/>
                <w:spacing w:val="-10"/>
                <w:kern w:val="0"/>
                <w:sz w:val="24"/>
                <w:szCs w:val="24"/>
              </w:rPr>
              <w:t>1.8</w:t>
            </w:r>
            <w:r>
              <w:rPr>
                <w:rFonts w:hint="eastAsia" w:ascii="仿宋_GB2312" w:hAnsi="宋体" w:eastAsia="仿宋_GB2312" w:cs="仿宋_GB2312"/>
                <w:color w:val="000000"/>
                <w:spacing w:val="-10"/>
                <w:kern w:val="0"/>
                <w:sz w:val="24"/>
                <w:szCs w:val="24"/>
              </w:rPr>
              <w:t>公里。</w:t>
            </w:r>
          </w:p>
        </w:tc>
        <w:tc>
          <w:tcPr>
            <w:tcW w:w="4600" w:type="dxa"/>
            <w:vMerge w:val="continue"/>
            <w:tcBorders>
              <w:left w:val="single" w:color="000000"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p>
        </w:tc>
        <w:tc>
          <w:tcPr>
            <w:tcW w:w="816" w:type="dxa"/>
            <w:tcBorders>
              <w:top w:val="single" w:color="auto" w:sz="4" w:space="0"/>
              <w:left w:val="single" w:color="auto" w:sz="4" w:space="0"/>
              <w:bottom w:val="single" w:color="auto"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1000</w:t>
            </w:r>
          </w:p>
        </w:tc>
        <w:tc>
          <w:tcPr>
            <w:tcW w:w="911" w:type="dxa"/>
            <w:vMerge w:val="restart"/>
            <w:tcBorders>
              <w:top w:val="single" w:color="auto" w:sz="4" w:space="0"/>
              <w:left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市城乡水务局</w:t>
            </w:r>
          </w:p>
        </w:tc>
        <w:tc>
          <w:tcPr>
            <w:tcW w:w="1352"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393" w:hRule="atLeast"/>
          <w:jc w:val="center"/>
        </w:trPr>
        <w:tc>
          <w:tcPr>
            <w:tcW w:w="555"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spacing w:val="-10"/>
                <w:kern w:val="0"/>
                <w:sz w:val="24"/>
                <w:szCs w:val="24"/>
              </w:rPr>
            </w:pPr>
            <w:r>
              <w:rPr>
                <w:rFonts w:hint="eastAsia" w:ascii="仿宋_GB2312" w:hAnsi="宋体" w:eastAsia="仿宋_GB2312" w:cs="仿宋_GB2312"/>
                <w:color w:val="000000"/>
                <w:spacing w:val="-10"/>
                <w:kern w:val="0"/>
                <w:sz w:val="24"/>
                <w:szCs w:val="24"/>
              </w:rPr>
              <w:t>④实施滕南橡胶坝至金城坝改建污水管网</w:t>
            </w:r>
            <w:r>
              <w:rPr>
                <w:rFonts w:ascii="仿宋_GB2312" w:hAnsi="宋体" w:eastAsia="仿宋_GB2312" w:cs="仿宋_GB2312"/>
                <w:color w:val="000000"/>
                <w:spacing w:val="-10"/>
                <w:kern w:val="0"/>
                <w:sz w:val="24"/>
                <w:szCs w:val="24"/>
              </w:rPr>
              <w:t>1.35</w:t>
            </w:r>
            <w:r>
              <w:rPr>
                <w:rFonts w:hint="eastAsia" w:ascii="仿宋_GB2312" w:hAnsi="宋体" w:eastAsia="仿宋_GB2312" w:cs="仿宋_GB2312"/>
                <w:color w:val="000000"/>
                <w:spacing w:val="-10"/>
                <w:kern w:val="0"/>
                <w:sz w:val="24"/>
                <w:szCs w:val="24"/>
              </w:rPr>
              <w:t>公里</w:t>
            </w:r>
          </w:p>
        </w:tc>
        <w:tc>
          <w:tcPr>
            <w:tcW w:w="4600" w:type="dxa"/>
            <w:vMerge w:val="continue"/>
            <w:tcBorders>
              <w:left w:val="single" w:color="000000"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p>
        </w:tc>
        <w:tc>
          <w:tcPr>
            <w:tcW w:w="816" w:type="dxa"/>
            <w:tcBorders>
              <w:top w:val="single" w:color="auto" w:sz="4" w:space="0"/>
              <w:left w:val="single" w:color="auto" w:sz="4" w:space="0"/>
              <w:bottom w:val="single" w:color="auto"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950</w:t>
            </w:r>
          </w:p>
        </w:tc>
        <w:tc>
          <w:tcPr>
            <w:tcW w:w="911" w:type="dxa"/>
            <w:vMerge w:val="continue"/>
            <w:tcBorders>
              <w:top w:val="single" w:color="auto" w:sz="4" w:space="0"/>
              <w:left w:val="single" w:color="auto"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p>
        </w:tc>
        <w:tc>
          <w:tcPr>
            <w:tcW w:w="1352" w:type="dxa"/>
            <w:vMerge w:val="continue"/>
            <w:tcBorders>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651" w:hRule="atLeast"/>
          <w:jc w:val="center"/>
        </w:trPr>
        <w:tc>
          <w:tcPr>
            <w:tcW w:w="555" w:type="dxa"/>
            <w:vMerge w:val="continue"/>
            <w:tcBorders>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000000" w:sz="4" w:space="0"/>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spacing w:val="-10"/>
                <w:kern w:val="0"/>
                <w:sz w:val="24"/>
                <w:szCs w:val="24"/>
              </w:rPr>
            </w:pPr>
            <w:r>
              <w:rPr>
                <w:rFonts w:hint="eastAsia" w:ascii="仿宋_GB2312" w:hAnsi="宋体" w:eastAsia="仿宋_GB2312" w:cs="仿宋_GB2312"/>
                <w:color w:val="000000"/>
                <w:spacing w:val="-10"/>
                <w:kern w:val="0"/>
                <w:sz w:val="24"/>
                <w:szCs w:val="24"/>
              </w:rPr>
              <w:t>⑤实施金城坝至幸福坝段改建污水管网</w:t>
            </w:r>
            <w:r>
              <w:rPr>
                <w:rFonts w:ascii="仿宋_GB2312" w:hAnsi="宋体" w:eastAsia="仿宋_GB2312" w:cs="仿宋_GB2312"/>
                <w:color w:val="000000"/>
                <w:spacing w:val="-10"/>
                <w:kern w:val="0"/>
                <w:sz w:val="24"/>
                <w:szCs w:val="24"/>
              </w:rPr>
              <w:t>1.55</w:t>
            </w:r>
            <w:r>
              <w:rPr>
                <w:rFonts w:hint="eastAsia" w:ascii="仿宋_GB2312" w:hAnsi="宋体" w:eastAsia="仿宋_GB2312" w:cs="仿宋_GB2312"/>
                <w:color w:val="000000"/>
                <w:spacing w:val="-10"/>
                <w:kern w:val="0"/>
                <w:sz w:val="24"/>
                <w:szCs w:val="24"/>
              </w:rPr>
              <w:t>公里，同步实施跨河倒虹吸工程，将左岸污水引至右岸。</w:t>
            </w:r>
          </w:p>
        </w:tc>
        <w:tc>
          <w:tcPr>
            <w:tcW w:w="4600" w:type="dxa"/>
            <w:vMerge w:val="continue"/>
            <w:tcBorders>
              <w:left w:val="single" w:color="000000"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p>
        </w:tc>
        <w:tc>
          <w:tcPr>
            <w:tcW w:w="816" w:type="dxa"/>
            <w:tcBorders>
              <w:top w:val="single" w:color="auto" w:sz="4" w:space="0"/>
              <w:left w:val="single" w:color="auto" w:sz="4" w:space="0"/>
              <w:bottom w:val="single" w:color="auto"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1750</w:t>
            </w:r>
          </w:p>
        </w:tc>
        <w:tc>
          <w:tcPr>
            <w:tcW w:w="911" w:type="dxa"/>
            <w:vMerge w:val="continue"/>
            <w:tcBorders>
              <w:top w:val="single" w:color="auto" w:sz="4" w:space="0"/>
              <w:left w:val="single" w:color="auto"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p>
        </w:tc>
        <w:tc>
          <w:tcPr>
            <w:tcW w:w="1352" w:type="dxa"/>
            <w:vMerge w:val="continue"/>
            <w:tcBorders>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2322" w:hRule="atLeast"/>
          <w:jc w:val="center"/>
        </w:trPr>
        <w:tc>
          <w:tcPr>
            <w:tcW w:w="555" w:type="dxa"/>
            <w:vMerge w:val="restart"/>
            <w:tcBorders>
              <w:top w:val="single" w:color="auto" w:sz="4" w:space="0"/>
              <w:left w:val="single" w:color="000000" w:sz="4" w:space="0"/>
              <w:bottom w:val="nil"/>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w:t>
            </w:r>
          </w:p>
        </w:tc>
        <w:tc>
          <w:tcPr>
            <w:tcW w:w="782" w:type="dxa"/>
            <w:vMerge w:val="restart"/>
            <w:tcBorders>
              <w:top w:val="single" w:color="auto" w:sz="4" w:space="0"/>
              <w:left w:val="single" w:color="000000" w:sz="4" w:space="0"/>
              <w:bottom w:val="nil"/>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重点区域管网建设改造</w:t>
            </w:r>
          </w:p>
        </w:tc>
        <w:tc>
          <w:tcPr>
            <w:tcW w:w="5838" w:type="dxa"/>
            <w:tcBorders>
              <w:top w:val="single" w:color="auto" w:sz="4" w:space="0"/>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spacing w:val="-10"/>
                <w:kern w:val="0"/>
                <w:sz w:val="24"/>
                <w:szCs w:val="24"/>
              </w:rPr>
            </w:pPr>
            <w:r>
              <w:rPr>
                <w:rFonts w:hint="eastAsia" w:ascii="仿宋_GB2312" w:hAnsi="宋体" w:eastAsia="仿宋_GB2312" w:cs="仿宋_GB2312"/>
                <w:color w:val="000000"/>
                <w:spacing w:val="-10"/>
                <w:kern w:val="0"/>
                <w:sz w:val="24"/>
                <w:szCs w:val="24"/>
              </w:rPr>
              <w:t>在城区北部，以通盛路为界，对通盛路以北、红荷路以南、龙泉路以西、</w:t>
            </w:r>
            <w:r>
              <w:rPr>
                <w:rFonts w:ascii="仿宋_GB2312" w:hAnsi="宋体" w:eastAsia="仿宋_GB2312" w:cs="仿宋_GB2312"/>
                <w:color w:val="000000"/>
                <w:spacing w:val="-10"/>
                <w:kern w:val="0"/>
                <w:sz w:val="24"/>
                <w:szCs w:val="24"/>
              </w:rPr>
              <w:t>104</w:t>
            </w:r>
            <w:r>
              <w:rPr>
                <w:rFonts w:hint="eastAsia" w:ascii="仿宋_GB2312" w:hAnsi="宋体" w:eastAsia="仿宋_GB2312" w:cs="仿宋_GB2312"/>
                <w:color w:val="000000"/>
                <w:spacing w:val="-10"/>
                <w:kern w:val="0"/>
                <w:sz w:val="24"/>
                <w:szCs w:val="24"/>
              </w:rPr>
              <w:t>国道以东区域（</w:t>
            </w:r>
            <w:r>
              <w:rPr>
                <w:rFonts w:ascii="仿宋_GB2312" w:hAnsi="宋体" w:eastAsia="仿宋_GB2312" w:cs="仿宋_GB2312"/>
                <w:color w:val="000000"/>
                <w:spacing w:val="-10"/>
                <w:kern w:val="0"/>
                <w:sz w:val="24"/>
                <w:szCs w:val="24"/>
              </w:rPr>
              <w:t>5.65</w:t>
            </w:r>
            <w:r>
              <w:rPr>
                <w:rFonts w:hint="eastAsia" w:ascii="仿宋_GB2312" w:hAnsi="宋体" w:eastAsia="仿宋_GB2312" w:cs="仿宋_GB2312"/>
                <w:color w:val="000000"/>
                <w:spacing w:val="-10"/>
                <w:kern w:val="0"/>
                <w:sz w:val="24"/>
                <w:szCs w:val="24"/>
              </w:rPr>
              <w:t>平方公里），沿红荷路（龙泉路</w:t>
            </w:r>
            <w:r>
              <w:rPr>
                <w:rFonts w:ascii="仿宋_GB2312" w:hAnsi="宋体" w:eastAsia="仿宋_GB2312" w:cs="仿宋_GB2312"/>
                <w:color w:val="000000"/>
                <w:spacing w:val="-10"/>
                <w:kern w:val="0"/>
                <w:sz w:val="24"/>
                <w:szCs w:val="24"/>
              </w:rPr>
              <w:t>-</w:t>
            </w:r>
            <w:r>
              <w:rPr>
                <w:rFonts w:hint="eastAsia" w:ascii="仿宋_GB2312" w:hAnsi="宋体" w:eastAsia="仿宋_GB2312" w:cs="仿宋_GB2312"/>
                <w:color w:val="000000"/>
                <w:spacing w:val="-10"/>
                <w:kern w:val="0"/>
                <w:sz w:val="24"/>
                <w:szCs w:val="24"/>
              </w:rPr>
              <w:t>排水明渠）新建污水管网</w:t>
            </w:r>
            <w:r>
              <w:rPr>
                <w:rFonts w:ascii="仿宋_GB2312" w:hAnsi="宋体" w:eastAsia="仿宋_GB2312" w:cs="仿宋_GB2312"/>
                <w:color w:val="000000"/>
                <w:spacing w:val="-10"/>
                <w:kern w:val="0"/>
                <w:sz w:val="24"/>
                <w:szCs w:val="24"/>
              </w:rPr>
              <w:t>5.4</w:t>
            </w:r>
            <w:r>
              <w:rPr>
                <w:rFonts w:hint="eastAsia" w:ascii="仿宋_GB2312" w:hAnsi="宋体" w:eastAsia="仿宋_GB2312" w:cs="仿宋_GB2312"/>
                <w:color w:val="000000"/>
                <w:spacing w:val="-10"/>
                <w:kern w:val="0"/>
                <w:sz w:val="24"/>
                <w:szCs w:val="24"/>
              </w:rPr>
              <w:t>公里，沿排水明渠（红荷路</w:t>
            </w:r>
            <w:r>
              <w:rPr>
                <w:rFonts w:ascii="仿宋_GB2312" w:hAnsi="宋体" w:eastAsia="仿宋_GB2312" w:cs="仿宋_GB2312"/>
                <w:color w:val="000000"/>
                <w:spacing w:val="-10"/>
                <w:kern w:val="0"/>
                <w:sz w:val="24"/>
                <w:szCs w:val="24"/>
              </w:rPr>
              <w:t>-</w:t>
            </w:r>
            <w:r>
              <w:rPr>
                <w:rFonts w:hint="eastAsia" w:ascii="仿宋_GB2312" w:hAnsi="宋体" w:eastAsia="仿宋_GB2312" w:cs="仿宋_GB2312"/>
                <w:color w:val="000000"/>
                <w:spacing w:val="-10"/>
                <w:kern w:val="0"/>
                <w:sz w:val="24"/>
                <w:szCs w:val="24"/>
              </w:rPr>
              <w:t>小冯河）新建污水管网</w:t>
            </w:r>
            <w:r>
              <w:rPr>
                <w:rFonts w:ascii="仿宋_GB2312" w:hAnsi="宋体" w:eastAsia="仿宋_GB2312" w:cs="仿宋_GB2312"/>
                <w:color w:val="000000"/>
                <w:spacing w:val="-10"/>
                <w:kern w:val="0"/>
                <w:sz w:val="24"/>
                <w:szCs w:val="24"/>
              </w:rPr>
              <w:t>1.6</w:t>
            </w:r>
            <w:r>
              <w:rPr>
                <w:rFonts w:hint="eastAsia" w:ascii="仿宋_GB2312" w:hAnsi="宋体" w:eastAsia="仿宋_GB2312" w:cs="仿宋_GB2312"/>
                <w:color w:val="000000"/>
                <w:spacing w:val="-10"/>
                <w:kern w:val="0"/>
                <w:sz w:val="24"/>
                <w:szCs w:val="24"/>
              </w:rPr>
              <w:t>公里，沿大同北路（红荷路</w:t>
            </w:r>
            <w:r>
              <w:rPr>
                <w:rFonts w:ascii="仿宋_GB2312" w:hAnsi="宋体" w:eastAsia="仿宋_GB2312" w:cs="仿宋_GB2312"/>
                <w:color w:val="000000"/>
                <w:spacing w:val="-10"/>
                <w:kern w:val="0"/>
                <w:sz w:val="24"/>
                <w:szCs w:val="24"/>
              </w:rPr>
              <w:t>-</w:t>
            </w:r>
            <w:r>
              <w:rPr>
                <w:rFonts w:hint="eastAsia" w:ascii="仿宋_GB2312" w:hAnsi="宋体" w:eastAsia="仿宋_GB2312" w:cs="仿宋_GB2312"/>
                <w:color w:val="000000"/>
                <w:spacing w:val="-10"/>
                <w:kern w:val="0"/>
                <w:sz w:val="24"/>
                <w:szCs w:val="24"/>
              </w:rPr>
              <w:t>北辛路）新建污水管网</w:t>
            </w:r>
            <w:r>
              <w:rPr>
                <w:rFonts w:ascii="仿宋_GB2312" w:hAnsi="宋体" w:eastAsia="仿宋_GB2312" w:cs="仿宋_GB2312"/>
                <w:color w:val="000000"/>
                <w:spacing w:val="-10"/>
                <w:kern w:val="0"/>
                <w:sz w:val="24"/>
                <w:szCs w:val="24"/>
              </w:rPr>
              <w:t>1.63</w:t>
            </w:r>
            <w:r>
              <w:rPr>
                <w:rFonts w:hint="eastAsia" w:ascii="仿宋_GB2312" w:hAnsi="宋体" w:eastAsia="仿宋_GB2312" w:cs="仿宋_GB2312"/>
                <w:color w:val="000000"/>
                <w:spacing w:val="-10"/>
                <w:kern w:val="0"/>
                <w:sz w:val="24"/>
                <w:szCs w:val="24"/>
              </w:rPr>
              <w:t>公里，沿塔寺路（陶山路</w:t>
            </w:r>
            <w:r>
              <w:rPr>
                <w:rFonts w:ascii="仿宋_GB2312" w:hAnsi="宋体" w:eastAsia="仿宋_GB2312" w:cs="仿宋_GB2312"/>
                <w:color w:val="000000"/>
                <w:spacing w:val="-10"/>
                <w:kern w:val="0"/>
                <w:sz w:val="24"/>
                <w:szCs w:val="24"/>
              </w:rPr>
              <w:t>-</w:t>
            </w:r>
            <w:r>
              <w:rPr>
                <w:rFonts w:hint="eastAsia" w:ascii="仿宋_GB2312" w:hAnsi="宋体" w:eastAsia="仿宋_GB2312" w:cs="仿宋_GB2312"/>
                <w:color w:val="000000"/>
                <w:spacing w:val="-10"/>
                <w:kern w:val="0"/>
                <w:sz w:val="24"/>
                <w:szCs w:val="24"/>
              </w:rPr>
              <w:t>通盛路）新建污水管网</w:t>
            </w:r>
            <w:r>
              <w:rPr>
                <w:rFonts w:ascii="仿宋_GB2312" w:hAnsi="宋体" w:eastAsia="仿宋_GB2312" w:cs="仿宋_GB2312"/>
                <w:color w:val="000000"/>
                <w:spacing w:val="-10"/>
                <w:kern w:val="0"/>
                <w:sz w:val="24"/>
                <w:szCs w:val="24"/>
              </w:rPr>
              <w:t>0.65</w:t>
            </w:r>
            <w:r>
              <w:rPr>
                <w:rFonts w:hint="eastAsia" w:ascii="仿宋_GB2312" w:hAnsi="宋体" w:eastAsia="仿宋_GB2312" w:cs="仿宋_GB2312"/>
                <w:color w:val="000000"/>
                <w:spacing w:val="-10"/>
                <w:kern w:val="0"/>
                <w:sz w:val="24"/>
                <w:szCs w:val="24"/>
              </w:rPr>
              <w:t>公里，沿龙泉路（红荷路</w:t>
            </w:r>
            <w:r>
              <w:rPr>
                <w:rFonts w:ascii="仿宋_GB2312" w:hAnsi="宋体" w:eastAsia="仿宋_GB2312" w:cs="仿宋_GB2312"/>
                <w:color w:val="000000"/>
                <w:spacing w:val="-10"/>
                <w:kern w:val="0"/>
                <w:sz w:val="24"/>
                <w:szCs w:val="24"/>
              </w:rPr>
              <w:t>-</w:t>
            </w:r>
            <w:r>
              <w:rPr>
                <w:rFonts w:hint="eastAsia" w:ascii="仿宋_GB2312" w:hAnsi="宋体" w:eastAsia="仿宋_GB2312" w:cs="仿宋_GB2312"/>
                <w:color w:val="000000"/>
                <w:spacing w:val="-10"/>
                <w:kern w:val="0"/>
                <w:sz w:val="24"/>
                <w:szCs w:val="24"/>
              </w:rPr>
              <w:t>通盛路）新建污水管网</w:t>
            </w:r>
            <w:r>
              <w:rPr>
                <w:rFonts w:ascii="仿宋_GB2312" w:hAnsi="宋体" w:eastAsia="仿宋_GB2312" w:cs="仿宋_GB2312"/>
                <w:color w:val="000000"/>
                <w:spacing w:val="-10"/>
                <w:kern w:val="0"/>
                <w:sz w:val="24"/>
                <w:szCs w:val="24"/>
              </w:rPr>
              <w:t>1.1</w:t>
            </w:r>
            <w:r>
              <w:rPr>
                <w:rFonts w:hint="eastAsia" w:ascii="仿宋_GB2312" w:hAnsi="宋体" w:eastAsia="仿宋_GB2312" w:cs="仿宋_GB2312"/>
                <w:color w:val="000000"/>
                <w:spacing w:val="-10"/>
                <w:kern w:val="0"/>
                <w:sz w:val="24"/>
                <w:szCs w:val="24"/>
              </w:rPr>
              <w:t>公里，共新建污水主干管网</w:t>
            </w:r>
            <w:r>
              <w:rPr>
                <w:rFonts w:ascii="仿宋_GB2312" w:hAnsi="宋体" w:eastAsia="仿宋_GB2312" w:cs="仿宋_GB2312"/>
                <w:color w:val="000000"/>
                <w:spacing w:val="-10"/>
                <w:kern w:val="0"/>
                <w:sz w:val="24"/>
                <w:szCs w:val="24"/>
              </w:rPr>
              <w:t>10.38</w:t>
            </w:r>
            <w:r>
              <w:rPr>
                <w:rFonts w:hint="eastAsia" w:ascii="仿宋_GB2312" w:hAnsi="宋体" w:eastAsia="仿宋_GB2312" w:cs="仿宋_GB2312"/>
                <w:color w:val="000000"/>
                <w:spacing w:val="-10"/>
                <w:kern w:val="0"/>
                <w:sz w:val="24"/>
                <w:szCs w:val="24"/>
              </w:rPr>
              <w:t>公里，原合流制管网改造为雨水管网。</w:t>
            </w:r>
          </w:p>
        </w:tc>
        <w:tc>
          <w:tcPr>
            <w:tcW w:w="4600" w:type="dxa"/>
            <w:vMerge w:val="restart"/>
            <w:tcBorders>
              <w:top w:val="single" w:color="000000"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围绕提升北沙河王晁桥国控断面水质，迫切需要推进污水处理提质增效，急需实施城区北部区域管网建设、雨污分流改造，缓解断面水质压力。</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2900</w:t>
            </w:r>
          </w:p>
        </w:tc>
        <w:tc>
          <w:tcPr>
            <w:tcW w:w="911" w:type="dxa"/>
            <w:vMerge w:val="restart"/>
            <w:tcBorders>
              <w:top w:val="single" w:color="auto"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市城乡水务局</w:t>
            </w:r>
          </w:p>
        </w:tc>
        <w:tc>
          <w:tcPr>
            <w:tcW w:w="1352" w:type="dxa"/>
            <w:vMerge w:val="restart"/>
            <w:tcBorders>
              <w:top w:val="single" w:color="auto"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hint="eastAsia"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2020</w:t>
            </w:r>
            <w:r>
              <w:rPr>
                <w:rFonts w:hint="eastAsia" w:ascii="仿宋_GB2312" w:hAnsi="宋体" w:eastAsia="仿宋_GB2312" w:cs="仿宋_GB2312"/>
                <w:color w:val="000000"/>
                <w:kern w:val="0"/>
                <w:sz w:val="24"/>
                <w:szCs w:val="24"/>
              </w:rPr>
              <w:t>年</w:t>
            </w:r>
          </w:p>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hint="eastAsia" w:ascii="仿宋_GB2312" w:hAnsi="宋体" w:eastAsia="仿宋_GB2312" w:cs="仿宋_GB2312"/>
                <w:color w:val="000000"/>
                <w:kern w:val="0"/>
                <w:sz w:val="24"/>
                <w:szCs w:val="24"/>
              </w:rPr>
              <w:t>底前</w:t>
            </w:r>
          </w:p>
        </w:tc>
      </w:tr>
      <w:tr>
        <w:tblPrEx>
          <w:tblCellMar>
            <w:top w:w="0" w:type="dxa"/>
            <w:left w:w="108" w:type="dxa"/>
            <w:bottom w:w="0" w:type="dxa"/>
            <w:right w:w="108" w:type="dxa"/>
          </w:tblCellMar>
        </w:tblPrEx>
        <w:trPr>
          <w:trHeight w:val="640" w:hRule="atLeast"/>
          <w:jc w:val="center"/>
        </w:trPr>
        <w:tc>
          <w:tcPr>
            <w:tcW w:w="555" w:type="dxa"/>
            <w:vMerge w:val="continue"/>
            <w:tcBorders>
              <w:top w:val="nil"/>
              <w:left w:val="single" w:color="000000" w:sz="4" w:space="0"/>
              <w:bottom w:val="nil"/>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top w:val="nil"/>
              <w:left w:val="single" w:color="000000" w:sz="4" w:space="0"/>
              <w:bottom w:val="nil"/>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auto" w:sz="4" w:space="0"/>
              <w:left w:val="single" w:color="000000" w:sz="4" w:space="0"/>
              <w:bottom w:val="single" w:color="auto"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spacing w:val="-10"/>
                <w:kern w:val="0"/>
                <w:sz w:val="24"/>
                <w:szCs w:val="24"/>
              </w:rPr>
            </w:pPr>
            <w:r>
              <w:rPr>
                <w:rFonts w:hint="eastAsia" w:ascii="仿宋_GB2312" w:hAnsi="宋体" w:eastAsia="仿宋_GB2312" w:cs="仿宋_GB2312"/>
                <w:color w:val="000000"/>
                <w:spacing w:val="-10"/>
                <w:kern w:val="0"/>
                <w:sz w:val="24"/>
                <w:szCs w:val="24"/>
              </w:rPr>
              <w:t>对通盛路以南、北辛路以北雨污混流区域（</w:t>
            </w:r>
            <w:r>
              <w:rPr>
                <w:rFonts w:ascii="仿宋_GB2312" w:hAnsi="宋体" w:eastAsia="仿宋_GB2312" w:cs="仿宋_GB2312"/>
                <w:color w:val="000000"/>
                <w:spacing w:val="-10"/>
                <w:kern w:val="0"/>
                <w:sz w:val="24"/>
                <w:szCs w:val="24"/>
              </w:rPr>
              <w:t>2.2</w:t>
            </w:r>
            <w:r>
              <w:rPr>
                <w:rFonts w:hint="eastAsia" w:ascii="仿宋_GB2312" w:hAnsi="宋体" w:eastAsia="仿宋_GB2312" w:cs="仿宋_GB2312"/>
                <w:color w:val="000000"/>
                <w:spacing w:val="-10"/>
                <w:kern w:val="0"/>
                <w:sz w:val="24"/>
                <w:szCs w:val="24"/>
              </w:rPr>
              <w:t>平方公里），北辛大干渠末端建设清污分流工程。</w:t>
            </w:r>
          </w:p>
        </w:tc>
        <w:tc>
          <w:tcPr>
            <w:tcW w:w="4600" w:type="dxa"/>
            <w:vMerge w:val="continue"/>
            <w:tcBorders>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2100</w:t>
            </w:r>
          </w:p>
        </w:tc>
        <w:tc>
          <w:tcPr>
            <w:tcW w:w="911" w:type="dxa"/>
            <w:vMerge w:val="continue"/>
            <w:tcBorders>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p>
        </w:tc>
        <w:tc>
          <w:tcPr>
            <w:tcW w:w="1352" w:type="dxa"/>
            <w:vMerge w:val="continue"/>
            <w:tcBorders>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p>
        </w:tc>
      </w:tr>
      <w:tr>
        <w:tblPrEx>
          <w:tblCellMar>
            <w:top w:w="0" w:type="dxa"/>
            <w:left w:w="108" w:type="dxa"/>
            <w:bottom w:w="0" w:type="dxa"/>
            <w:right w:w="108" w:type="dxa"/>
          </w:tblCellMar>
        </w:tblPrEx>
        <w:trPr>
          <w:trHeight w:val="802" w:hRule="atLeast"/>
          <w:jc w:val="center"/>
        </w:trPr>
        <w:tc>
          <w:tcPr>
            <w:tcW w:w="555" w:type="dxa"/>
            <w:vMerge w:val="continue"/>
            <w:tcBorders>
              <w:top w:val="nil"/>
              <w:left w:val="single" w:color="000000" w:sz="4" w:space="0"/>
              <w:bottom w:val="nil"/>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top w:val="nil"/>
              <w:left w:val="single" w:color="000000" w:sz="4" w:space="0"/>
              <w:bottom w:val="nil"/>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auto" w:sz="4" w:space="0"/>
              <w:left w:val="single" w:color="auto" w:sz="4" w:space="0"/>
              <w:bottom w:val="single" w:color="auto" w:sz="4" w:space="0"/>
              <w:right w:val="single" w:color="auto"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spacing w:val="-10"/>
                <w:kern w:val="0"/>
                <w:sz w:val="24"/>
                <w:szCs w:val="24"/>
              </w:rPr>
            </w:pPr>
            <w:r>
              <w:rPr>
                <w:rFonts w:hint="eastAsia" w:ascii="仿宋_GB2312" w:hAnsi="宋体" w:eastAsia="仿宋_GB2312" w:cs="仿宋_GB2312"/>
                <w:color w:val="000000"/>
                <w:kern w:val="0"/>
                <w:sz w:val="24"/>
                <w:szCs w:val="24"/>
              </w:rPr>
              <w:t>完成鲁华物流至通盛路污水管网穿铁路连通建设工程。</w:t>
            </w:r>
          </w:p>
        </w:tc>
        <w:tc>
          <w:tcPr>
            <w:tcW w:w="4600" w:type="dxa"/>
            <w:tcBorders>
              <w:top w:val="single" w:color="000000" w:sz="4" w:space="0"/>
              <w:left w:val="single" w:color="auto"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通盛路污水管网尚未与三污配套管网连接，急需进行改造。</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911"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市综合行政执法局</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ascii="仿宋_GB2312" w:hAnsi="宋体" w:eastAsia="仿宋_GB2312" w:cs="仿宋_GB2312"/>
                <w:color w:val="000000"/>
                <w:kern w:val="0"/>
                <w:sz w:val="24"/>
                <w:szCs w:val="24"/>
              </w:rPr>
              <w:t>2020</w:t>
            </w:r>
            <w:r>
              <w:rPr>
                <w:rFonts w:hint="eastAsia" w:ascii="仿宋_GB2312" w:hAnsi="宋体" w:eastAsia="仿宋_GB2312" w:cs="仿宋_GB2312"/>
                <w:color w:val="000000"/>
                <w:kern w:val="0"/>
                <w:sz w:val="24"/>
                <w:szCs w:val="24"/>
              </w:rPr>
              <w:t>年</w:t>
            </w:r>
            <w:r>
              <w:rPr>
                <w:rFonts w:ascii="仿宋_GB2312" w:hAnsi="宋体" w:eastAsia="仿宋_GB2312" w:cs="仿宋_GB2312"/>
                <w:color w:val="000000"/>
                <w:kern w:val="0"/>
                <w:sz w:val="24"/>
                <w:szCs w:val="24"/>
              </w:rPr>
              <w:t>4</w:t>
            </w:r>
            <w:r>
              <w:rPr>
                <w:rFonts w:hint="eastAsia" w:ascii="仿宋_GB2312" w:hAnsi="宋体" w:eastAsia="仿宋_GB2312" w:cs="仿宋_GB2312"/>
                <w:color w:val="000000"/>
                <w:kern w:val="0"/>
                <w:sz w:val="24"/>
                <w:szCs w:val="24"/>
              </w:rPr>
              <w:t>月中旬</w:t>
            </w:r>
          </w:p>
        </w:tc>
      </w:tr>
      <w:tr>
        <w:tblPrEx>
          <w:tblCellMar>
            <w:top w:w="0" w:type="dxa"/>
            <w:left w:w="108" w:type="dxa"/>
            <w:bottom w:w="0" w:type="dxa"/>
            <w:right w:w="108" w:type="dxa"/>
          </w:tblCellMar>
        </w:tblPrEx>
        <w:trPr>
          <w:trHeight w:val="1027" w:hRule="atLeast"/>
          <w:jc w:val="center"/>
        </w:trPr>
        <w:tc>
          <w:tcPr>
            <w:tcW w:w="555" w:type="dxa"/>
            <w:vMerge w:val="continue"/>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auto"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spacing w:val="-10"/>
                <w:kern w:val="0"/>
                <w:sz w:val="24"/>
                <w:szCs w:val="24"/>
              </w:rPr>
            </w:pPr>
            <w:r>
              <w:rPr>
                <w:rFonts w:hint="eastAsia" w:ascii="仿宋_GB2312" w:hAnsi="宋体" w:eastAsia="仿宋_GB2312" w:cs="仿宋_GB2312"/>
                <w:color w:val="000000"/>
                <w:kern w:val="0"/>
                <w:sz w:val="24"/>
                <w:szCs w:val="24"/>
              </w:rPr>
              <w:t>对小清河（约</w:t>
            </w:r>
            <w:r>
              <w:rPr>
                <w:rFonts w:ascii="仿宋_GB2312" w:hAnsi="宋体" w:eastAsia="仿宋_GB2312" w:cs="仿宋_GB2312"/>
                <w:color w:val="000000"/>
                <w:kern w:val="0"/>
                <w:sz w:val="24"/>
                <w:szCs w:val="24"/>
              </w:rPr>
              <w:t>1.9</w:t>
            </w:r>
            <w:r>
              <w:rPr>
                <w:rFonts w:hint="eastAsia" w:ascii="仿宋_GB2312" w:hAnsi="宋体" w:eastAsia="仿宋_GB2312" w:cs="仿宋_GB2312"/>
                <w:color w:val="000000"/>
                <w:kern w:val="0"/>
                <w:sz w:val="24"/>
                <w:szCs w:val="24"/>
              </w:rPr>
              <w:t>公里）、小冯河（约</w:t>
            </w:r>
            <w:r>
              <w:rPr>
                <w:rFonts w:ascii="仿宋_GB2312" w:hAnsi="宋体" w:eastAsia="仿宋_GB2312" w:cs="仿宋_GB2312"/>
                <w:color w:val="000000"/>
                <w:kern w:val="0"/>
                <w:sz w:val="24"/>
                <w:szCs w:val="24"/>
              </w:rPr>
              <w:t>2.2</w:t>
            </w:r>
            <w:r>
              <w:rPr>
                <w:rFonts w:hint="eastAsia" w:ascii="仿宋_GB2312" w:hAnsi="宋体" w:eastAsia="仿宋_GB2312" w:cs="仿宋_GB2312"/>
                <w:color w:val="000000"/>
                <w:kern w:val="0"/>
                <w:sz w:val="24"/>
                <w:szCs w:val="24"/>
              </w:rPr>
              <w:t>公里）鲁班大道桥至姜屯王林水库段进入三污的管网进行全面排查，并对坍塌、污水外溢的管网进行改造提升。</w:t>
            </w:r>
          </w:p>
        </w:tc>
        <w:tc>
          <w:tcPr>
            <w:tcW w:w="4600"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三污配套管网存在坍塌、外溢等问题，影响河道水质，需对该段管网进行全面排查、改造提升。</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911"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市住房和城乡建设局</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ascii="仿宋_GB2312" w:hAnsi="宋体" w:eastAsia="仿宋_GB2312" w:cs="仿宋_GB2312"/>
                <w:color w:val="000000"/>
                <w:kern w:val="0"/>
                <w:sz w:val="24"/>
                <w:szCs w:val="24"/>
              </w:rPr>
              <w:t>2020</w:t>
            </w:r>
            <w:r>
              <w:rPr>
                <w:rFonts w:hint="eastAsia" w:ascii="仿宋_GB2312" w:hAnsi="宋体" w:eastAsia="仿宋_GB2312" w:cs="仿宋_GB2312"/>
                <w:color w:val="000000"/>
                <w:kern w:val="0"/>
                <w:sz w:val="24"/>
                <w:szCs w:val="24"/>
              </w:rPr>
              <w:t>年</w:t>
            </w:r>
            <w:r>
              <w:rPr>
                <w:rFonts w:ascii="仿宋_GB2312" w:hAnsi="宋体" w:eastAsia="仿宋_GB2312" w:cs="仿宋_GB2312"/>
                <w:color w:val="000000"/>
                <w:kern w:val="0"/>
                <w:sz w:val="24"/>
                <w:szCs w:val="24"/>
              </w:rPr>
              <w:t>5</w:t>
            </w:r>
            <w:r>
              <w:rPr>
                <w:rFonts w:hint="eastAsia" w:ascii="仿宋_GB2312" w:hAnsi="宋体" w:eastAsia="仿宋_GB2312" w:cs="仿宋_GB2312"/>
                <w:color w:val="000000"/>
                <w:kern w:val="0"/>
                <w:sz w:val="24"/>
                <w:szCs w:val="24"/>
              </w:rPr>
              <w:t>月底前</w:t>
            </w:r>
          </w:p>
        </w:tc>
      </w:tr>
      <w:tr>
        <w:tblPrEx>
          <w:tblCellMar>
            <w:top w:w="0" w:type="dxa"/>
            <w:left w:w="108" w:type="dxa"/>
            <w:bottom w:w="0" w:type="dxa"/>
            <w:right w:w="108" w:type="dxa"/>
          </w:tblCellMar>
        </w:tblPrEx>
        <w:trPr>
          <w:trHeight w:val="865" w:hRule="atLeast"/>
          <w:jc w:val="center"/>
        </w:trPr>
        <w:tc>
          <w:tcPr>
            <w:tcW w:w="555" w:type="dxa"/>
            <w:vMerge w:val="continue"/>
            <w:tcBorders>
              <w:top w:val="single" w:color="000000"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top w:val="single" w:color="000000"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000000" w:sz="4" w:space="0"/>
              <w:left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spacing w:val="-10"/>
                <w:kern w:val="0"/>
                <w:sz w:val="24"/>
                <w:szCs w:val="24"/>
              </w:rPr>
              <w:t>沿善国路（红荷大道</w:t>
            </w:r>
            <w:r>
              <w:rPr>
                <w:rFonts w:ascii="仿宋_GB2312" w:hAnsi="宋体" w:eastAsia="仿宋_GB2312" w:cs="仿宋_GB2312"/>
                <w:color w:val="000000"/>
                <w:spacing w:val="-10"/>
                <w:kern w:val="0"/>
                <w:sz w:val="24"/>
                <w:szCs w:val="24"/>
              </w:rPr>
              <w:t>-</w:t>
            </w:r>
            <w:r>
              <w:rPr>
                <w:rFonts w:hint="eastAsia" w:ascii="仿宋_GB2312" w:hAnsi="宋体" w:eastAsia="仿宋_GB2312" w:cs="仿宋_GB2312"/>
                <w:color w:val="000000"/>
                <w:spacing w:val="-10"/>
                <w:kern w:val="0"/>
                <w:sz w:val="24"/>
                <w:szCs w:val="24"/>
              </w:rPr>
              <w:t>通盛路）新建污水管网</w:t>
            </w:r>
            <w:r>
              <w:rPr>
                <w:rFonts w:ascii="仿宋_GB2312" w:hAnsi="宋体" w:eastAsia="仿宋_GB2312" w:cs="仿宋_GB2312"/>
                <w:color w:val="000000"/>
                <w:kern w:val="0"/>
                <w:sz w:val="24"/>
                <w:szCs w:val="24"/>
              </w:rPr>
              <w:t>1.1</w:t>
            </w:r>
            <w:r>
              <w:rPr>
                <w:rFonts w:hint="eastAsia" w:ascii="仿宋_GB2312" w:hAnsi="宋体" w:eastAsia="仿宋_GB2312" w:cs="仿宋_GB2312"/>
                <w:color w:val="000000"/>
                <w:kern w:val="0"/>
                <w:sz w:val="24"/>
                <w:szCs w:val="24"/>
              </w:rPr>
              <w:t>公</w:t>
            </w:r>
            <w:r>
              <w:rPr>
                <w:rFonts w:hint="eastAsia" w:ascii="仿宋_GB2312" w:hAnsi="宋体" w:eastAsia="仿宋_GB2312" w:cs="仿宋_GB2312"/>
                <w:color w:val="000000"/>
                <w:spacing w:val="-10"/>
                <w:kern w:val="0"/>
                <w:sz w:val="24"/>
                <w:szCs w:val="24"/>
              </w:rPr>
              <w:t>里，原合流制管网改造为雨水管网。</w:t>
            </w:r>
          </w:p>
        </w:tc>
        <w:tc>
          <w:tcPr>
            <w:tcW w:w="4600"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olor w:val="000000"/>
                <w:kern w:val="0"/>
                <w:sz w:val="24"/>
                <w:szCs w:val="24"/>
              </w:rPr>
              <w:t>城区北部区域管网建设内容。</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570</w:t>
            </w:r>
          </w:p>
        </w:tc>
        <w:tc>
          <w:tcPr>
            <w:tcW w:w="911"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highlight w:val="red"/>
              </w:rPr>
            </w:pPr>
            <w:r>
              <w:rPr>
                <w:rFonts w:hint="eastAsia" w:ascii="仿宋_GB2312" w:hAnsi="宋体" w:eastAsia="仿宋_GB2312" w:cs="仿宋_GB2312"/>
                <w:color w:val="000000"/>
                <w:kern w:val="0"/>
                <w:sz w:val="22"/>
                <w:szCs w:val="22"/>
              </w:rPr>
              <w:t>市城乡水务局</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2021</w:t>
            </w:r>
            <w:r>
              <w:rPr>
                <w:rFonts w:hint="eastAsia" w:ascii="仿宋_GB2312" w:hAnsi="宋体" w:eastAsia="仿宋_GB2312" w:cs="仿宋_GB2312"/>
                <w:color w:val="000000"/>
                <w:kern w:val="0"/>
                <w:sz w:val="24"/>
                <w:szCs w:val="24"/>
              </w:rPr>
              <w:t>年</w:t>
            </w:r>
          </w:p>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hint="eastAsia" w:ascii="仿宋_GB2312" w:hAnsi="宋体" w:eastAsia="仿宋_GB2312" w:cs="仿宋_GB2312"/>
                <w:color w:val="000000"/>
                <w:kern w:val="0"/>
                <w:sz w:val="24"/>
                <w:szCs w:val="24"/>
              </w:rPr>
              <w:t>底前</w:t>
            </w:r>
          </w:p>
        </w:tc>
      </w:tr>
      <w:tr>
        <w:tblPrEx>
          <w:tblCellMar>
            <w:top w:w="0" w:type="dxa"/>
            <w:left w:w="108" w:type="dxa"/>
            <w:bottom w:w="0" w:type="dxa"/>
            <w:right w:w="108" w:type="dxa"/>
          </w:tblCellMar>
        </w:tblPrEx>
        <w:trPr>
          <w:trHeight w:val="983" w:hRule="atLeast"/>
          <w:jc w:val="center"/>
        </w:trPr>
        <w:tc>
          <w:tcPr>
            <w:tcW w:w="555" w:type="dxa"/>
            <w:vMerge w:val="continue"/>
            <w:tcBorders>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782" w:type="dxa"/>
            <w:vMerge w:val="continue"/>
            <w:tcBorders>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5838"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结合后洪区域棚户区改造，同步实施管网建设和小清河</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城河水系连通工程，完善后洪村南侧污水管网建设，新建污水管网</w:t>
            </w:r>
            <w:r>
              <w:rPr>
                <w:rFonts w:ascii="仿宋_GB2312" w:hAnsi="宋体" w:eastAsia="仿宋_GB2312" w:cs="仿宋_GB2312"/>
                <w:color w:val="000000"/>
                <w:kern w:val="0"/>
                <w:sz w:val="24"/>
                <w:szCs w:val="24"/>
              </w:rPr>
              <w:t>1.5</w:t>
            </w:r>
            <w:r>
              <w:rPr>
                <w:rFonts w:hint="eastAsia" w:ascii="仿宋_GB2312" w:hAnsi="宋体" w:eastAsia="仿宋_GB2312" w:cs="仿宋_GB2312"/>
                <w:color w:val="000000"/>
                <w:kern w:val="0"/>
                <w:sz w:val="24"/>
                <w:szCs w:val="24"/>
              </w:rPr>
              <w:t>公里。</w:t>
            </w:r>
          </w:p>
        </w:tc>
        <w:tc>
          <w:tcPr>
            <w:tcW w:w="4600"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城区部分区域管网不连通，管网缺失，一定程度上影响河道水质，急需实施改造，提升管网收集率和污水管网水质。</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p>
        </w:tc>
        <w:tc>
          <w:tcPr>
            <w:tcW w:w="911"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市城乡水务局、住房和城乡建设局</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2021</w:t>
            </w:r>
            <w:r>
              <w:rPr>
                <w:rFonts w:hint="eastAsia" w:ascii="仿宋_GB2312" w:hAnsi="宋体" w:eastAsia="仿宋_GB2312" w:cs="仿宋_GB2312"/>
                <w:color w:val="000000"/>
                <w:kern w:val="0"/>
                <w:sz w:val="24"/>
                <w:szCs w:val="24"/>
              </w:rPr>
              <w:t>年</w:t>
            </w:r>
          </w:p>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hint="eastAsia" w:ascii="仿宋_GB2312" w:hAnsi="宋体" w:eastAsia="仿宋_GB2312" w:cs="仿宋_GB2312"/>
                <w:color w:val="000000"/>
                <w:kern w:val="0"/>
                <w:sz w:val="24"/>
                <w:szCs w:val="24"/>
              </w:rPr>
              <w:t>底前</w:t>
            </w:r>
          </w:p>
        </w:tc>
      </w:tr>
      <w:tr>
        <w:tblPrEx>
          <w:tblCellMar>
            <w:top w:w="0" w:type="dxa"/>
            <w:left w:w="108" w:type="dxa"/>
            <w:bottom w:w="0" w:type="dxa"/>
            <w:right w:w="108" w:type="dxa"/>
          </w:tblCellMar>
        </w:tblPrEx>
        <w:trPr>
          <w:trHeight w:val="450" w:hRule="atLeast"/>
          <w:jc w:val="center"/>
        </w:trPr>
        <w:tc>
          <w:tcPr>
            <w:tcW w:w="555"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3</w:t>
            </w:r>
          </w:p>
        </w:tc>
        <w:tc>
          <w:tcPr>
            <w:tcW w:w="782" w:type="dxa"/>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智慧管理平台建设</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lef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开展城市排水管网地理信息采集、管道混接、错接勘察，并绘制成图、建立数据库，先期实施部分主干污水管网及重点区域管网在线水质、水量监测，初步完成管网智慧平台建设，提升管网智慧化管理水平。</w:t>
            </w:r>
          </w:p>
        </w:tc>
        <w:tc>
          <w:tcPr>
            <w:tcW w:w="4600"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按照国家、省要求，</w:t>
            </w:r>
            <w:r>
              <w:rPr>
                <w:rFonts w:ascii="仿宋_GB2312" w:hAnsi="宋体" w:eastAsia="仿宋_GB2312" w:cs="仿宋_GB2312"/>
                <w:color w:val="000000"/>
                <w:kern w:val="0"/>
                <w:sz w:val="24"/>
                <w:szCs w:val="24"/>
              </w:rPr>
              <w:t>2019</w:t>
            </w:r>
            <w:r>
              <w:rPr>
                <w:rFonts w:hint="eastAsia" w:ascii="仿宋_GB2312" w:hAnsi="宋体" w:eastAsia="仿宋_GB2312" w:cs="仿宋_GB2312"/>
                <w:color w:val="000000"/>
                <w:kern w:val="0"/>
                <w:sz w:val="24"/>
                <w:szCs w:val="24"/>
              </w:rPr>
              <w:t>年底前编制完成城市污水提质增效三年行动实施方案</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报上级备案，向社会公布，同时必须建立排水管网地理信息系统，且每季度调度一次建立情况和方案编制情况。</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500</w:t>
            </w:r>
          </w:p>
        </w:tc>
        <w:tc>
          <w:tcPr>
            <w:tcW w:w="911"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rPr>
                <w:rFonts w:ascii="仿宋_GB2312" w:hAnsi="宋体" w:eastAsia="仿宋_GB2312"/>
                <w:color w:val="000000"/>
                <w:kern w:val="0"/>
                <w:sz w:val="24"/>
                <w:szCs w:val="24"/>
              </w:rPr>
            </w:pPr>
            <w:r>
              <w:rPr>
                <w:rFonts w:hint="eastAsia" w:ascii="仿宋_GB2312" w:hAnsi="宋体" w:eastAsia="仿宋_GB2312" w:cs="仿宋_GB2312"/>
                <w:color w:val="000000"/>
                <w:kern w:val="0"/>
                <w:sz w:val="22"/>
                <w:szCs w:val="22"/>
              </w:rPr>
              <w:t>市城乡水务局</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s="仿宋_GB2312"/>
                <w:color w:val="000000"/>
                <w:kern w:val="0"/>
                <w:sz w:val="24"/>
                <w:szCs w:val="24"/>
              </w:rPr>
            </w:pPr>
            <w:r>
              <w:rPr>
                <w:rFonts w:ascii="仿宋_GB2312" w:hAnsi="宋体" w:eastAsia="仿宋_GB2312" w:cs="仿宋_GB2312"/>
                <w:color w:val="000000"/>
                <w:kern w:val="0"/>
                <w:sz w:val="24"/>
                <w:szCs w:val="24"/>
              </w:rPr>
              <w:t>2020</w:t>
            </w:r>
            <w:r>
              <w:rPr>
                <w:rFonts w:hint="eastAsia" w:ascii="仿宋_GB2312" w:hAnsi="宋体" w:eastAsia="仿宋_GB2312" w:cs="仿宋_GB2312"/>
                <w:color w:val="000000"/>
                <w:kern w:val="0"/>
                <w:sz w:val="24"/>
                <w:szCs w:val="24"/>
              </w:rPr>
              <w:t>年</w:t>
            </w:r>
          </w:p>
          <w:p>
            <w:pPr>
              <w:widowControl/>
              <w:pBdr>
                <w:top w:val="none" w:color="auto" w:sz="0" w:space="0"/>
                <w:left w:val="none" w:color="auto" w:sz="0" w:space="0"/>
                <w:bottom w:val="none" w:color="auto" w:sz="0" w:space="0"/>
                <w:right w:val="none" w:color="auto" w:sz="0" w:space="0"/>
                <w:between w:val="none" w:color="auto" w:sz="0" w:space="0"/>
              </w:pBdr>
              <w:spacing w:line="260" w:lineRule="exact"/>
              <w:jc w:val="center"/>
              <w:rPr>
                <w:rFonts w:ascii="仿宋_GB2312" w:hAnsi="宋体" w:eastAsia="仿宋_GB2312"/>
                <w:color w:val="000000"/>
                <w:kern w:val="0"/>
                <w:sz w:val="22"/>
                <w:szCs w:val="22"/>
              </w:rPr>
            </w:pPr>
            <w:r>
              <w:rPr>
                <w:rFonts w:hint="eastAsia" w:ascii="仿宋_GB2312" w:hAnsi="宋体" w:eastAsia="仿宋_GB2312" w:cs="仿宋_GB2312"/>
                <w:color w:val="000000"/>
                <w:kern w:val="0"/>
                <w:sz w:val="24"/>
                <w:szCs w:val="24"/>
              </w:rPr>
              <w:t>底前</w:t>
            </w:r>
          </w:p>
        </w:tc>
      </w:tr>
      <w:tr>
        <w:tblPrEx>
          <w:tblCellMar>
            <w:top w:w="0" w:type="dxa"/>
            <w:left w:w="108" w:type="dxa"/>
            <w:bottom w:w="0" w:type="dxa"/>
            <w:right w:w="108" w:type="dxa"/>
          </w:tblCellMar>
        </w:tblPrEx>
        <w:trPr>
          <w:trHeight w:val="450" w:hRule="atLeast"/>
          <w:jc w:val="center"/>
        </w:trPr>
        <w:tc>
          <w:tcPr>
            <w:tcW w:w="1337" w:type="dxa"/>
            <w:gridSpan w:val="2"/>
            <w:tcBorders>
              <w:top w:val="nil"/>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合计</w:t>
            </w:r>
          </w:p>
        </w:tc>
        <w:tc>
          <w:tcPr>
            <w:tcW w:w="10438" w:type="dxa"/>
            <w:gridSpan w:val="2"/>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ind w:firstLine="480" w:firstLineChars="200"/>
              <w:jc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工程估算不含迁占等其它费用</w:t>
            </w: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jc w:val="center"/>
              <w:rPr>
                <w:rFonts w:ascii="仿宋_GB2312" w:hAnsi="宋体" w:eastAsia="仿宋_GB2312"/>
                <w:color w:val="000000"/>
                <w:kern w:val="0"/>
                <w:sz w:val="24"/>
                <w:szCs w:val="24"/>
              </w:rPr>
            </w:pPr>
            <w:r>
              <w:rPr>
                <w:rFonts w:ascii="仿宋_GB2312" w:hAnsi="宋体" w:eastAsia="仿宋_GB2312" w:cs="仿宋_GB2312"/>
                <w:color w:val="000000"/>
                <w:kern w:val="0"/>
                <w:sz w:val="24"/>
                <w:szCs w:val="24"/>
              </w:rPr>
              <w:t>10870</w:t>
            </w:r>
          </w:p>
        </w:tc>
        <w:tc>
          <w:tcPr>
            <w:tcW w:w="911"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jc w:val="center"/>
              <w:rPr>
                <w:rFonts w:ascii="仿宋_GB2312" w:hAnsi="宋体" w:eastAsia="仿宋_GB2312"/>
                <w:color w:val="000000"/>
                <w:kern w:val="0"/>
                <w:sz w:val="24"/>
                <w:szCs w:val="24"/>
              </w:rPr>
            </w:pP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pBdr>
                <w:top w:val="none" w:color="auto" w:sz="0" w:space="0"/>
                <w:left w:val="none" w:color="auto" w:sz="0" w:space="0"/>
                <w:bottom w:val="none" w:color="auto" w:sz="0" w:space="0"/>
                <w:right w:val="none" w:color="auto" w:sz="0" w:space="0"/>
                <w:between w:val="none" w:color="auto" w:sz="0" w:space="0"/>
              </w:pBdr>
              <w:spacing w:line="280" w:lineRule="exact"/>
              <w:jc w:val="center"/>
              <w:rPr>
                <w:rFonts w:ascii="仿宋_GB2312" w:hAnsi="宋体" w:eastAsia="仿宋_GB2312"/>
                <w:color w:val="000000"/>
                <w:kern w:val="0"/>
                <w:sz w:val="24"/>
                <w:szCs w:val="24"/>
              </w:rPr>
            </w:pPr>
          </w:p>
        </w:tc>
      </w:tr>
    </w:tbl>
    <w:p>
      <w:pPr>
        <w:widowControl/>
        <w:pBdr>
          <w:top w:val="none" w:color="auto" w:sz="0" w:space="0"/>
          <w:left w:val="none" w:color="auto" w:sz="0" w:space="0"/>
          <w:bottom w:val="none" w:color="auto" w:sz="0" w:space="0"/>
          <w:right w:val="none" w:color="auto" w:sz="0" w:space="0"/>
          <w:between w:val="none" w:color="auto" w:sz="0" w:space="0"/>
        </w:pBdr>
        <w:jc w:val="left"/>
        <w:rPr>
          <w:rFonts w:ascii="黑体" w:hAnsi="黑体" w:eastAsia="黑体"/>
          <w:color w:val="000000"/>
          <w:kern w:val="0"/>
          <w:sz w:val="32"/>
          <w:szCs w:val="32"/>
        </w:rPr>
        <w:sectPr>
          <w:pgSz w:w="16838" w:h="11906" w:orient="landscape"/>
          <w:pgMar w:top="850" w:right="850" w:bottom="850" w:left="850" w:header="851" w:footer="992" w:gutter="0"/>
          <w:pgNumType w:fmt="numberInDash"/>
          <w:cols w:space="720" w:num="1"/>
          <w:docGrid w:type="linesAndChars" w:linePitch="312" w:charSpace="0"/>
        </w:sect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jc w:val="left"/>
        <w:rPr>
          <w:rFonts w:ascii="仿宋_GB2312" w:hAnsi="仿宋_GB2312" w:eastAsia="仿宋_GB2312" w:cs="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320" w:firstLineChars="100"/>
        <w:jc w:val="left"/>
        <w:rPr>
          <w:rFonts w:ascii="仿宋_GB2312" w:hAnsi="仿宋_GB2312" w:eastAsia="仿宋_GB2312"/>
          <w:color w:val="000000"/>
          <w:kern w:val="0"/>
          <w:sz w:val="32"/>
          <w:szCs w:val="32"/>
        </w:rPr>
      </w:pPr>
      <w:r>
        <w:rPr>
          <w:rFonts w:hint="eastAsia" w:ascii="仿宋_GB2312" w:hAnsi="仿宋_GB2312" w:eastAsia="仿宋_GB2312" w:cs="仿宋_GB2312"/>
          <w:color w:val="000000"/>
          <w:kern w:val="0"/>
          <w:sz w:val="32"/>
          <w:szCs w:val="32"/>
        </w:rPr>
        <w:t>（此页无正文）</w:t>
      </w: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320" w:firstLineChars="100"/>
        <w:jc w:val="left"/>
        <w:rPr>
          <w:rFonts w:ascii="仿宋_GB2312" w:hAnsi="仿宋_GB2312" w:eastAsia="仿宋_GB2312"/>
          <w:color w:val="000000"/>
          <w:kern w:val="0"/>
          <w:sz w:val="32"/>
          <w:szCs w:val="32"/>
        </w:rPr>
      </w:pPr>
      <w:r>
        <w:rPr>
          <w:rFonts w:hint="eastAsia" w:ascii="仿宋_GB2312" w:hAnsi="仿宋_GB2312" w:eastAsia="仿宋_GB2312" w:cs="仿宋_GB2312"/>
          <w:color w:val="000000"/>
          <w:kern w:val="0"/>
          <w:sz w:val="32"/>
          <w:szCs w:val="32"/>
        </w:rPr>
        <w:t>（此页无正文）</w:t>
      </w: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line="560" w:lineRule="exact"/>
        <w:ind w:firstLine="640" w:firstLineChars="200"/>
        <w:rPr>
          <w:rFonts w:ascii="仿宋_GB2312" w:hAnsi="仿宋_GB2312" w:eastAsia="仿宋_GB2312"/>
          <w:color w:val="000000"/>
          <w:kern w:val="0"/>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adjustRightInd w:val="0"/>
        <w:snapToGrid w:val="0"/>
        <w:spacing w:line="560" w:lineRule="exact"/>
        <w:rPr>
          <w:rFonts w:ascii="仿宋_GB2312" w:eastAsia="仿宋_GB2312"/>
          <w:bCs/>
          <w:sz w:val="32"/>
          <w:szCs w:val="32"/>
        </w:rPr>
      </w:pPr>
    </w:p>
    <w:p>
      <w:pPr>
        <w:widowControl/>
        <w:spacing w:line="200" w:lineRule="exact"/>
        <w:rPr>
          <w:rFonts w:ascii="黑体" w:eastAsia="黑体"/>
          <w:color w:val="000000"/>
          <w:sz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40640</wp:posOffset>
                </wp:positionV>
                <wp:extent cx="5400040" cy="25400"/>
                <wp:effectExtent l="0" t="9525" r="10160" b="22225"/>
                <wp:wrapNone/>
                <wp:docPr id="1" name="直线 2"/>
                <wp:cNvGraphicFramePr/>
                <a:graphic xmlns:a="http://schemas.openxmlformats.org/drawingml/2006/main">
                  <a:graphicData uri="http://schemas.microsoft.com/office/word/2010/wordprocessingShape">
                    <wps:wsp>
                      <wps:cNvSpPr/>
                      <wps:spPr>
                        <a:xfrm>
                          <a:off x="0" y="0"/>
                          <a:ext cx="5400040"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2" o:spid="_x0000_s1026" o:spt="20" style="position:absolute;left:0pt;margin-left:0pt;margin-top:3.2pt;height:2pt;width:425.2pt;z-index:251659264;mso-width-relative:page;mso-height-relative:page;" filled="f" stroked="t" coordsize="21600,21600" o:gfxdata="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Dnpw5zSAAAABQEAAA8A&#10;AAAAAAAAAQAgAAAAOAAAAGRycy9kb3ducmV2LnhtbFBLAQIUABQAAAAIAIdO4kDPMpVBzgEAAJUD&#10;AAAOAAAAAAAAAAEAIAAAADcBAABkcnMvZTJvRG9jLnhtbFBLBQYAAAAABgAGAFkBAAB3BQAAAAA=&#10;">
                <v:fill on="f" focussize="0,0"/>
                <v:stroke weight="1.5pt" color="#000000" joinstyle="round"/>
                <v:imagedata o:title=""/>
                <o:lock v:ext="edit" aspectratio="f"/>
              </v:line>
            </w:pict>
          </mc:Fallback>
        </mc:AlternateContent>
      </w:r>
    </w:p>
    <w:p>
      <w:pPr>
        <w:widowControl/>
        <w:spacing w:line="340" w:lineRule="exact"/>
        <w:ind w:left="1124" w:hanging="1124" w:hangingChars="400"/>
        <w:rPr>
          <w:rFonts w:ascii="仿宋_GB2312" w:eastAsia="仿宋_GB2312"/>
          <w:color w:val="000000"/>
          <w:sz w:val="28"/>
          <w:szCs w:val="28"/>
        </w:rPr>
      </w:pPr>
      <w:r>
        <w:rPr>
          <w:rFonts w:ascii="仿宋_GB2312" w:eastAsia="仿宋_GB2312"/>
          <w:b/>
          <w:color w:val="000000"/>
          <w:sz w:val="28"/>
          <w:szCs w:val="28"/>
        </w:rPr>
        <w:t>抄  送：</w:t>
      </w:r>
      <w:r>
        <w:rPr>
          <w:rFonts w:ascii="仿宋_GB2312" w:eastAsia="仿宋_GB2312"/>
          <w:color w:val="000000"/>
          <w:sz w:val="28"/>
          <w:szCs w:val="28"/>
        </w:rPr>
        <w:t>市委相关部门，市人大常委会办公室，市政协办公室，</w:t>
      </w:r>
      <w:r>
        <w:rPr>
          <w:rFonts w:ascii="仿宋_GB2312" w:eastAsia="仿宋_GB2312"/>
          <w:sz w:val="28"/>
        </w:rPr>
        <w:t>市监察委，</w:t>
      </w:r>
      <w:r>
        <w:rPr>
          <w:rFonts w:ascii="仿宋_GB2312" w:eastAsia="仿宋_GB2312"/>
          <w:color w:val="000000"/>
          <w:sz w:val="28"/>
          <w:szCs w:val="28"/>
        </w:rPr>
        <w:t>市法院，市检察院，市人武部。</w:t>
      </w:r>
    </w:p>
    <w:p>
      <w:pPr>
        <w:widowControl/>
        <w:spacing w:line="240" w:lineRule="exact"/>
        <w:ind w:right="29" w:rightChars="14" w:firstLine="560"/>
        <w:rPr>
          <w:rFonts w:ascii="仿宋_GB2312" w:eastAsia="仿宋_GB2312"/>
          <w:color w:val="000000"/>
          <w:sz w:val="28"/>
          <w:szCs w:val="28"/>
        </w:rPr>
      </w:pPr>
      <w:r>
        <w:rPr>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76200</wp:posOffset>
                </wp:positionV>
                <wp:extent cx="5400040" cy="0"/>
                <wp:effectExtent l="0" t="0" r="0" b="0"/>
                <wp:wrapNone/>
                <wp:docPr id="2" name="直线 3"/>
                <wp:cNvGraphicFramePr/>
                <a:graphic xmlns:a="http://schemas.openxmlformats.org/drawingml/2006/main">
                  <a:graphicData uri="http://schemas.microsoft.com/office/word/2010/wordprocessingShape">
                    <wps:wsp>
                      <wps:cNvSpPr/>
                      <wps:spPr>
                        <a:xfrm>
                          <a:off x="0" y="0"/>
                          <a:ext cx="54000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3" o:spid="_x0000_s1026" o:spt="20" style="position:absolute;left:0pt;margin-left:0pt;margin-top:6pt;height:0pt;width:425.2pt;z-index:251659264;mso-width-relative:page;mso-height-relative:page;" filled="f" stroked="t" coordsize="21600,21600" o:gfxdata="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C/IcEHUAAAABgEA&#10;AA8AAAAAAAAAAQAgAAAAOAAAAGRycy9kb3ducmV2LnhtbFBLAQIUABQAAAAIAIdO4kAhueBjzwEA&#10;AJADAAAOAAAAAAAAAAEAIAAAADkBAABkcnMvZTJvRG9jLnhtbFBLBQYAAAAABgAGAFkBAAB6BQAA&#10;AAA=&#10;">
                <v:fill on="f" focussize="0,0"/>
                <v:stroke color="#000000" joinstyle="round"/>
                <v:imagedata o:title=""/>
                <o:lock v:ext="edit" aspectratio="f"/>
              </v:line>
            </w:pict>
          </mc:Fallback>
        </mc:AlternateContent>
      </w:r>
    </w:p>
    <w:p>
      <w:pPr>
        <w:widowControl/>
        <w:spacing w:line="340" w:lineRule="exact"/>
        <w:rPr>
          <w:rFonts w:ascii="仿宋_GB2312" w:eastAsia="仿宋_GB2312"/>
          <w:color w:val="000000"/>
          <w:sz w:val="28"/>
          <w:szCs w:val="28"/>
        </w:rPr>
      </w:pPr>
      <w:r>
        <w:rPr>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251460</wp:posOffset>
                </wp:positionV>
                <wp:extent cx="5400040" cy="7620"/>
                <wp:effectExtent l="0" t="0" r="0" b="0"/>
                <wp:wrapNone/>
                <wp:docPr id="3" name="直线 4"/>
                <wp:cNvGraphicFramePr/>
                <a:graphic xmlns:a="http://schemas.openxmlformats.org/drawingml/2006/main">
                  <a:graphicData uri="http://schemas.microsoft.com/office/word/2010/wordprocessingShape">
                    <wps:wsp>
                      <wps:cNvSpPr/>
                      <wps:spPr>
                        <a:xfrm>
                          <a:off x="0" y="0"/>
                          <a:ext cx="5400040"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4" o:spid="_x0000_s1026" o:spt="20" style="position:absolute;left:0pt;margin-left:0pt;margin-top:19.8pt;height:0.6pt;width:425.2pt;z-index:251659264;mso-width-relative:page;mso-height-relative:page;" filled="f" stroked="t" coordsize="21600,21600" o:gfxdata="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HQIAo1QAA&#10;AAYBAAAPAAAAAAAAAAEAIAAAADgAAABkcnMvZG93bnJldi54bWxQSwECFAAUAAAACACHTuJAJkZN&#10;tdIBAACUAwAADgAAAAAAAAABACAAAAA6AQAAZHJzL2Uyb0RvYy54bWxQSwUGAAAAAAYABgBZAQAA&#10;fgUAAAAA&#10;">
                <v:fill on="f" focussize="0,0"/>
                <v:stroke weight="1.5pt" color="#000000" joinstyle="round"/>
                <v:imagedata o:title=""/>
                <o:lock v:ext="edit" aspectratio="f"/>
              </v:line>
            </w:pict>
          </mc:Fallback>
        </mc:AlternateContent>
      </w:r>
      <w:r>
        <w:rPr>
          <w:rFonts w:ascii="仿宋_GB2312" w:eastAsia="仿宋_GB2312"/>
          <w:color w:val="000000"/>
          <w:sz w:val="28"/>
          <w:szCs w:val="28"/>
        </w:rPr>
        <w:t xml:space="preserve">滕州市人民政府办公室                   </w:t>
      </w:r>
      <w:r>
        <w:rPr>
          <w:rFonts w:hint="eastAsia" w:ascii="仿宋_GB2312" w:eastAsia="仿宋_GB2312"/>
          <w:color w:val="000000"/>
          <w:sz w:val="28"/>
          <w:szCs w:val="28"/>
        </w:rPr>
        <w:t xml:space="preserve"> </w:t>
      </w:r>
      <w:r>
        <w:rPr>
          <w:rFonts w:ascii="仿宋_GB2312" w:eastAsia="仿宋_GB2312"/>
          <w:color w:val="000000"/>
          <w:sz w:val="28"/>
          <w:szCs w:val="28"/>
        </w:rPr>
        <w:t>20</w:t>
      </w:r>
      <w:r>
        <w:rPr>
          <w:rFonts w:hint="eastAsia" w:ascii="仿宋_GB2312" w:eastAsia="仿宋_GB2312"/>
          <w:color w:val="000000"/>
          <w:sz w:val="28"/>
          <w:szCs w:val="28"/>
        </w:rPr>
        <w:t>19</w:t>
      </w:r>
      <w:r>
        <w:rPr>
          <w:rFonts w:ascii="仿宋_GB2312" w:eastAsia="仿宋_GB2312"/>
          <w:color w:val="000000"/>
          <w:sz w:val="28"/>
          <w:szCs w:val="28"/>
        </w:rPr>
        <w:t>年</w:t>
      </w:r>
      <w:r>
        <w:rPr>
          <w:rFonts w:hint="eastAsia" w:ascii="仿宋_GB2312" w:eastAsia="仿宋_GB2312"/>
          <w:color w:val="000000"/>
          <w:sz w:val="28"/>
          <w:szCs w:val="28"/>
        </w:rPr>
        <w:t>12</w:t>
      </w:r>
      <w:r>
        <w:rPr>
          <w:rFonts w:ascii="仿宋_GB2312" w:eastAsia="仿宋_GB2312"/>
          <w:color w:val="000000"/>
          <w:sz w:val="28"/>
          <w:szCs w:val="28"/>
        </w:rPr>
        <w:t>月</w:t>
      </w:r>
      <w:r>
        <w:rPr>
          <w:rFonts w:hint="eastAsia" w:ascii="仿宋_GB2312" w:eastAsia="仿宋_GB2312"/>
          <w:color w:val="000000"/>
          <w:sz w:val="28"/>
          <w:szCs w:val="28"/>
        </w:rPr>
        <w:t>31</w:t>
      </w:r>
      <w:r>
        <w:rPr>
          <w:rFonts w:ascii="仿宋_GB2312" w:eastAsia="仿宋_GB2312"/>
          <w:color w:val="000000"/>
          <w:sz w:val="28"/>
          <w:szCs w:val="28"/>
        </w:rPr>
        <w:t>日印发</w:t>
      </w:r>
    </w:p>
    <w:sectPr>
      <w:pgSz w:w="11906" w:h="16838"/>
      <w:pgMar w:top="1701" w:right="1701" w:bottom="1701" w:left="170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PMingLiUfalt">
    <w:altName w:val="Noto Sans CJK SC"/>
    <w:panose1 w:val="00000000000000000000"/>
    <w:charset w:val="88"/>
    <w:family w:val="auto"/>
    <w:pitch w:val="default"/>
    <w:sig w:usb0="00000000" w:usb1="00000000" w:usb2="00000010" w:usb3="00000000" w:csb0="001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TimesNewRoman">
    <w:altName w:val="Times New Roman"/>
    <w:panose1 w:val="00000000000000000000"/>
    <w:charset w:val="00"/>
    <w:family w:val="roman"/>
    <w:pitch w:val="default"/>
    <w:sig w:usb0="00000000" w:usb1="00000000" w:usb2="00000000" w:usb3="00000000" w:csb0="00000001" w:csb1="00000000"/>
  </w:font>
  <w:font w:name="Noto Sans CJK SC">
    <w:panose1 w:val="020B05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between w:val="none" w:color="auto" w:sz="0" w:space="0"/>
      </w:pBdr>
      <w:ind w:right="360" w:firstLine="360"/>
      <w:rPr>
        <w:rFonts w:ascii="仿宋_GB2312" w:eastAsia="仿宋_GB2312"/>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- 17 -</w:t>
                          </w:r>
                          <w:r>
                            <w:rPr>
                              <w:rFonts w:hint="eastAsia" w:ascii="宋体" w:hAnsi="宋体" w:cs="宋体"/>
                              <w:sz w:val="24"/>
                              <w:szCs w:val="24"/>
                            </w:rPr>
                            <w:fldChar w:fldCharType="end"/>
                          </w:r>
                        </w:p>
                      </w:txbxContent>
                    </wps:txbx>
                    <wps:bodyPr wrap="none" lIns="0" tIns="0" rIns="0" bIns="0" upright="true">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5mLPOyAQAAUQMAAA4AAAAAAAAAAQAgAAAANAEAAGRycy9lMm9Eb2Mu&#10;eG1sUEsFBgAAAAAGAAYAWQEAAFgFAAAAAA==&#10;">
              <v:fill on="f" focussize="0,0"/>
              <v:stroke on="f"/>
              <v:imagedata o:title=""/>
              <o:lock v:ext="edit" aspectratio="f"/>
              <v:textbox inset="0mm,0mm,0mm,0mm" style="mso-fit-shape-to-text:t;">
                <w:txbxContent>
                  <w:p>
                    <w:pPr>
                      <w:pStyle w:val="4"/>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- 17 -</w:t>
                    </w:r>
                    <w:r>
                      <w:rPr>
                        <w:rFonts w:hint="eastAsia" w:ascii="宋体" w:hAnsi="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between w:val="none" w:color="auto" w:sz="0" w:space="0"/>
      </w:pBd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- 18 -</w:t>
                          </w:r>
                          <w:r>
                            <w:rPr>
                              <w:rFonts w:hint="eastAsia" w:ascii="宋体" w:hAnsi="宋体" w:cs="宋体"/>
                              <w:sz w:val="24"/>
                              <w:szCs w:val="24"/>
                            </w:rPr>
                            <w:fldChar w:fldCharType="end"/>
                          </w:r>
                        </w:p>
                      </w:txbxContent>
                    </wps:txbx>
                    <wps:bodyPr wrap="none" lIns="0" tIns="0" rIns="0" bIns="0" upright="true">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N7ofumyAQAAUQMAAA4AAAAAAAAAAQAgAAAANAEAAGRycy9lMm9Eb2Mu&#10;eG1sUEsFBgAAAAAGAAYAWQEAAFgFAAAAAA==&#10;">
              <v:fill on="f" focussize="0,0"/>
              <v:stroke on="f"/>
              <v:imagedata o:title=""/>
              <o:lock v:ext="edit" aspectratio="f"/>
              <v:textbox inset="0mm,0mm,0mm,0mm" style="mso-fit-shape-to-text:t;">
                <w:txbxContent>
                  <w:p>
                    <w:pPr>
                      <w:pStyle w:val="4"/>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- 18 -</w:t>
                    </w:r>
                    <w:r>
                      <w:rPr>
                        <w:rFonts w:hint="eastAsia" w:ascii="宋体" w:hAnsi="宋体" w:cs="宋体"/>
                        <w:sz w:val="24"/>
                        <w:szCs w:val="24"/>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txbxContent>
                    </wps:txbx>
                    <wps:bodyPr wrap="none" lIns="0" tIns="0" rIns="0" bIns="0" upright="true">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ghpOn7QBAABUAwAADgAAAAAAAAABACAAAAA0AQAAZHJzL2Uyb0Rv&#10;Yy54bWxQSwUGAAAAAAYABgBZAQAAWgUAAAAA&#10;">
              <v:fill on="f" focussize="0,0"/>
              <v:stroke on="f"/>
              <v:imagedata o:title=""/>
              <o:lock v:ext="edit" aspectratio="f"/>
              <v:textbox inset="0mm,0mm,0mm,0mm" style="mso-fit-shape-to-text:t;">
                <w:txbxContent>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5B1BC"/>
    <w:multiLevelType w:val="singleLevel"/>
    <w:tmpl w:val="BE85B1B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NotTrackMoves/>
  <w:documentProtection w:enforcement="0"/>
  <w:defaultTabStop w:val="420"/>
  <w:doNotHyphenateCaps/>
  <w:evenAndOddHeaders w:val="true"/>
  <w:drawingGridHorizontalSpacing w:val="105"/>
  <w:drawingGridVerticalSpacing w:val="157"/>
  <w:noPunctuationKerning w:val="true"/>
  <w:characterSpacingControl w:val="doNotCompress"/>
  <w:noLineBreaksAfter w:lang="zh-CN" w:val="([{·‘“〈《「『【〔〖﹝＄（．［｛￡￥"/>
  <w:noLineBreaksBefore w:lang="zh-CN" w:val="!),.:;?]}¨·ˇˉ―‖’”…∶、。〃々〉》」』】〕〗﹜﹞！＂％＇），．：；？］｀｜｝～￠"/>
  <w:doNotValidateAgainstSchema/>
  <w:doNotDemarcateInvalidXml/>
  <w:hdrShapeDefaults>
    <o:shapelayout v:ext="edit">
      <o:idmap v:ext="edit" data="2"/>
    </o:shapelayout>
  </w:hdrShapeDefaults>
  <w:compat>
    <w:balanceSingleByteDoubleByteWidth/>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309"/>
    <w:rsid w:val="000019B8"/>
    <w:rsid w:val="00003A8C"/>
    <w:rsid w:val="000105E6"/>
    <w:rsid w:val="00013E93"/>
    <w:rsid w:val="00021582"/>
    <w:rsid w:val="00024C0C"/>
    <w:rsid w:val="0005583F"/>
    <w:rsid w:val="00056C03"/>
    <w:rsid w:val="000609A9"/>
    <w:rsid w:val="0007075E"/>
    <w:rsid w:val="00083101"/>
    <w:rsid w:val="000975A8"/>
    <w:rsid w:val="000A247F"/>
    <w:rsid w:val="000B136D"/>
    <w:rsid w:val="000B2302"/>
    <w:rsid w:val="000B6870"/>
    <w:rsid w:val="000C0230"/>
    <w:rsid w:val="000C04A4"/>
    <w:rsid w:val="000E03CC"/>
    <w:rsid w:val="000E5BC9"/>
    <w:rsid w:val="000F25B5"/>
    <w:rsid w:val="00125A00"/>
    <w:rsid w:val="00125BF6"/>
    <w:rsid w:val="001301DF"/>
    <w:rsid w:val="00140557"/>
    <w:rsid w:val="0014408C"/>
    <w:rsid w:val="00152C9C"/>
    <w:rsid w:val="0015493B"/>
    <w:rsid w:val="0016327B"/>
    <w:rsid w:val="001736A5"/>
    <w:rsid w:val="001925F1"/>
    <w:rsid w:val="001A3081"/>
    <w:rsid w:val="001A47A0"/>
    <w:rsid w:val="001A7188"/>
    <w:rsid w:val="001D577B"/>
    <w:rsid w:val="001E1997"/>
    <w:rsid w:val="001E37C6"/>
    <w:rsid w:val="001E38BA"/>
    <w:rsid w:val="001F4D04"/>
    <w:rsid w:val="001F532F"/>
    <w:rsid w:val="002121CF"/>
    <w:rsid w:val="00214212"/>
    <w:rsid w:val="002227C1"/>
    <w:rsid w:val="002250EC"/>
    <w:rsid w:val="002261D4"/>
    <w:rsid w:val="0022755B"/>
    <w:rsid w:val="00240227"/>
    <w:rsid w:val="00244358"/>
    <w:rsid w:val="00251FB5"/>
    <w:rsid w:val="00255E21"/>
    <w:rsid w:val="00281F64"/>
    <w:rsid w:val="00292370"/>
    <w:rsid w:val="002965C0"/>
    <w:rsid w:val="002A2AB8"/>
    <w:rsid w:val="002B45BD"/>
    <w:rsid w:val="002C1FC0"/>
    <w:rsid w:val="002C35A7"/>
    <w:rsid w:val="002C628E"/>
    <w:rsid w:val="002C7309"/>
    <w:rsid w:val="002D4B92"/>
    <w:rsid w:val="002E17AA"/>
    <w:rsid w:val="002E2F07"/>
    <w:rsid w:val="002F67BC"/>
    <w:rsid w:val="002F7C2F"/>
    <w:rsid w:val="00300A26"/>
    <w:rsid w:val="00303D56"/>
    <w:rsid w:val="00304E3F"/>
    <w:rsid w:val="003053EC"/>
    <w:rsid w:val="00331373"/>
    <w:rsid w:val="00332F9F"/>
    <w:rsid w:val="003333D3"/>
    <w:rsid w:val="00351411"/>
    <w:rsid w:val="0036345A"/>
    <w:rsid w:val="0036789E"/>
    <w:rsid w:val="00370C19"/>
    <w:rsid w:val="00375B9E"/>
    <w:rsid w:val="0038371C"/>
    <w:rsid w:val="00387EA3"/>
    <w:rsid w:val="003A422A"/>
    <w:rsid w:val="003A42B0"/>
    <w:rsid w:val="003B4E0B"/>
    <w:rsid w:val="003C1821"/>
    <w:rsid w:val="003C61ED"/>
    <w:rsid w:val="003C7CC7"/>
    <w:rsid w:val="003D0156"/>
    <w:rsid w:val="003D1967"/>
    <w:rsid w:val="003D27CC"/>
    <w:rsid w:val="003D45E5"/>
    <w:rsid w:val="003F7132"/>
    <w:rsid w:val="0040530D"/>
    <w:rsid w:val="00406E77"/>
    <w:rsid w:val="0041416E"/>
    <w:rsid w:val="00415A6C"/>
    <w:rsid w:val="00422F13"/>
    <w:rsid w:val="00423341"/>
    <w:rsid w:val="0042338C"/>
    <w:rsid w:val="0042477A"/>
    <w:rsid w:val="004305D0"/>
    <w:rsid w:val="00434BD4"/>
    <w:rsid w:val="004351E5"/>
    <w:rsid w:val="00444912"/>
    <w:rsid w:val="00445967"/>
    <w:rsid w:val="004473B7"/>
    <w:rsid w:val="004521B8"/>
    <w:rsid w:val="004547FA"/>
    <w:rsid w:val="00456D60"/>
    <w:rsid w:val="00460435"/>
    <w:rsid w:val="00466A34"/>
    <w:rsid w:val="004923C7"/>
    <w:rsid w:val="0049428C"/>
    <w:rsid w:val="00497A44"/>
    <w:rsid w:val="004A49F8"/>
    <w:rsid w:val="004B0F14"/>
    <w:rsid w:val="004C2605"/>
    <w:rsid w:val="004D0ED7"/>
    <w:rsid w:val="004E2482"/>
    <w:rsid w:val="004E2978"/>
    <w:rsid w:val="004E7C76"/>
    <w:rsid w:val="0050785F"/>
    <w:rsid w:val="005165E1"/>
    <w:rsid w:val="00531AB3"/>
    <w:rsid w:val="0054009C"/>
    <w:rsid w:val="00541A0B"/>
    <w:rsid w:val="00571E15"/>
    <w:rsid w:val="005746DC"/>
    <w:rsid w:val="005824E9"/>
    <w:rsid w:val="00584E0C"/>
    <w:rsid w:val="00586006"/>
    <w:rsid w:val="0059447C"/>
    <w:rsid w:val="005B0B1D"/>
    <w:rsid w:val="005B3BD7"/>
    <w:rsid w:val="005C37B1"/>
    <w:rsid w:val="005D1D96"/>
    <w:rsid w:val="005D4CD6"/>
    <w:rsid w:val="005E0620"/>
    <w:rsid w:val="005E78D6"/>
    <w:rsid w:val="005F3EC0"/>
    <w:rsid w:val="005F5306"/>
    <w:rsid w:val="005F7C02"/>
    <w:rsid w:val="00603250"/>
    <w:rsid w:val="00605686"/>
    <w:rsid w:val="00605F39"/>
    <w:rsid w:val="00607969"/>
    <w:rsid w:val="00627AEF"/>
    <w:rsid w:val="00634DBF"/>
    <w:rsid w:val="00637CFA"/>
    <w:rsid w:val="00641F16"/>
    <w:rsid w:val="00647EEB"/>
    <w:rsid w:val="00660CA6"/>
    <w:rsid w:val="00663B8A"/>
    <w:rsid w:val="0069545E"/>
    <w:rsid w:val="006A0DDD"/>
    <w:rsid w:val="006A14A6"/>
    <w:rsid w:val="006A6FBD"/>
    <w:rsid w:val="006A7F66"/>
    <w:rsid w:val="006B1480"/>
    <w:rsid w:val="006B5289"/>
    <w:rsid w:val="006E2630"/>
    <w:rsid w:val="006E4CEB"/>
    <w:rsid w:val="006F2A1A"/>
    <w:rsid w:val="006F7CD0"/>
    <w:rsid w:val="00702529"/>
    <w:rsid w:val="007038E2"/>
    <w:rsid w:val="00715D5C"/>
    <w:rsid w:val="00721577"/>
    <w:rsid w:val="00735C6E"/>
    <w:rsid w:val="007368A1"/>
    <w:rsid w:val="00750281"/>
    <w:rsid w:val="00750B0E"/>
    <w:rsid w:val="00762BDC"/>
    <w:rsid w:val="00766CF8"/>
    <w:rsid w:val="00774A8E"/>
    <w:rsid w:val="007822BB"/>
    <w:rsid w:val="00782E45"/>
    <w:rsid w:val="007B2271"/>
    <w:rsid w:val="007C60D1"/>
    <w:rsid w:val="007E716F"/>
    <w:rsid w:val="007F22C4"/>
    <w:rsid w:val="007F6F94"/>
    <w:rsid w:val="00824F3E"/>
    <w:rsid w:val="00827A58"/>
    <w:rsid w:val="008318F2"/>
    <w:rsid w:val="0083465B"/>
    <w:rsid w:val="008354DE"/>
    <w:rsid w:val="00836F63"/>
    <w:rsid w:val="00841D6F"/>
    <w:rsid w:val="00852385"/>
    <w:rsid w:val="008639D5"/>
    <w:rsid w:val="00867483"/>
    <w:rsid w:val="00872847"/>
    <w:rsid w:val="00872CBD"/>
    <w:rsid w:val="00875945"/>
    <w:rsid w:val="00881CEE"/>
    <w:rsid w:val="00890F41"/>
    <w:rsid w:val="00893D3E"/>
    <w:rsid w:val="008A1B15"/>
    <w:rsid w:val="008E5E30"/>
    <w:rsid w:val="008F08DB"/>
    <w:rsid w:val="008F79AB"/>
    <w:rsid w:val="009054CE"/>
    <w:rsid w:val="00914BB8"/>
    <w:rsid w:val="00943C54"/>
    <w:rsid w:val="009478C9"/>
    <w:rsid w:val="00965E1E"/>
    <w:rsid w:val="00970BC1"/>
    <w:rsid w:val="00970F1F"/>
    <w:rsid w:val="00971974"/>
    <w:rsid w:val="00976D3A"/>
    <w:rsid w:val="00977727"/>
    <w:rsid w:val="00984566"/>
    <w:rsid w:val="00987753"/>
    <w:rsid w:val="009902C7"/>
    <w:rsid w:val="00996AEC"/>
    <w:rsid w:val="00996D93"/>
    <w:rsid w:val="009A604E"/>
    <w:rsid w:val="009A741B"/>
    <w:rsid w:val="009D5EEE"/>
    <w:rsid w:val="009E685B"/>
    <w:rsid w:val="009E71CE"/>
    <w:rsid w:val="009E77E2"/>
    <w:rsid w:val="009F3C3E"/>
    <w:rsid w:val="00A03D4B"/>
    <w:rsid w:val="00A10D4A"/>
    <w:rsid w:val="00A15289"/>
    <w:rsid w:val="00A15C11"/>
    <w:rsid w:val="00A2334F"/>
    <w:rsid w:val="00A27B16"/>
    <w:rsid w:val="00A30C04"/>
    <w:rsid w:val="00A30CB9"/>
    <w:rsid w:val="00A30FD7"/>
    <w:rsid w:val="00A325E1"/>
    <w:rsid w:val="00A47A48"/>
    <w:rsid w:val="00A50588"/>
    <w:rsid w:val="00A512F7"/>
    <w:rsid w:val="00A62326"/>
    <w:rsid w:val="00A73A25"/>
    <w:rsid w:val="00A77AF0"/>
    <w:rsid w:val="00A805F9"/>
    <w:rsid w:val="00A87E94"/>
    <w:rsid w:val="00A919FD"/>
    <w:rsid w:val="00A95911"/>
    <w:rsid w:val="00AA5F9A"/>
    <w:rsid w:val="00AD326D"/>
    <w:rsid w:val="00AF7E92"/>
    <w:rsid w:val="00B03F58"/>
    <w:rsid w:val="00B10349"/>
    <w:rsid w:val="00B200BD"/>
    <w:rsid w:val="00B27302"/>
    <w:rsid w:val="00B33FED"/>
    <w:rsid w:val="00B704B5"/>
    <w:rsid w:val="00B74341"/>
    <w:rsid w:val="00B86138"/>
    <w:rsid w:val="00B91817"/>
    <w:rsid w:val="00BB1245"/>
    <w:rsid w:val="00BB781A"/>
    <w:rsid w:val="00BC1149"/>
    <w:rsid w:val="00BC46B9"/>
    <w:rsid w:val="00BC7546"/>
    <w:rsid w:val="00BD1A66"/>
    <w:rsid w:val="00BD6A2C"/>
    <w:rsid w:val="00C36C3C"/>
    <w:rsid w:val="00C44068"/>
    <w:rsid w:val="00C46A8D"/>
    <w:rsid w:val="00C5478F"/>
    <w:rsid w:val="00C77B6F"/>
    <w:rsid w:val="00C82B3B"/>
    <w:rsid w:val="00C951A2"/>
    <w:rsid w:val="00C96286"/>
    <w:rsid w:val="00CB33AF"/>
    <w:rsid w:val="00CC4C24"/>
    <w:rsid w:val="00CD042D"/>
    <w:rsid w:val="00CD3DDF"/>
    <w:rsid w:val="00CE68F7"/>
    <w:rsid w:val="00CF4298"/>
    <w:rsid w:val="00CF4478"/>
    <w:rsid w:val="00D06B86"/>
    <w:rsid w:val="00D17CCD"/>
    <w:rsid w:val="00D20578"/>
    <w:rsid w:val="00D3039F"/>
    <w:rsid w:val="00D54AE0"/>
    <w:rsid w:val="00D64D8C"/>
    <w:rsid w:val="00D66A2D"/>
    <w:rsid w:val="00D7041C"/>
    <w:rsid w:val="00D80F9D"/>
    <w:rsid w:val="00D9327D"/>
    <w:rsid w:val="00D95DD6"/>
    <w:rsid w:val="00DA3656"/>
    <w:rsid w:val="00DC7627"/>
    <w:rsid w:val="00DE6E00"/>
    <w:rsid w:val="00DF1E0B"/>
    <w:rsid w:val="00E02BCB"/>
    <w:rsid w:val="00E203A5"/>
    <w:rsid w:val="00E22EF3"/>
    <w:rsid w:val="00E23EC0"/>
    <w:rsid w:val="00E27E38"/>
    <w:rsid w:val="00E322D0"/>
    <w:rsid w:val="00E45E35"/>
    <w:rsid w:val="00E85B63"/>
    <w:rsid w:val="00E86D43"/>
    <w:rsid w:val="00E90541"/>
    <w:rsid w:val="00EA2E0B"/>
    <w:rsid w:val="00EB5D6C"/>
    <w:rsid w:val="00EC103B"/>
    <w:rsid w:val="00ED674C"/>
    <w:rsid w:val="00EE5BAF"/>
    <w:rsid w:val="00F0178C"/>
    <w:rsid w:val="00F11744"/>
    <w:rsid w:val="00F32CC7"/>
    <w:rsid w:val="00F3489C"/>
    <w:rsid w:val="00F36329"/>
    <w:rsid w:val="00F4386D"/>
    <w:rsid w:val="00F463A6"/>
    <w:rsid w:val="00F5199B"/>
    <w:rsid w:val="00F56EAB"/>
    <w:rsid w:val="00F6076E"/>
    <w:rsid w:val="00F670DA"/>
    <w:rsid w:val="00F73138"/>
    <w:rsid w:val="00F80F03"/>
    <w:rsid w:val="00F81AA5"/>
    <w:rsid w:val="00F8474F"/>
    <w:rsid w:val="00F92301"/>
    <w:rsid w:val="00F93343"/>
    <w:rsid w:val="00FA128A"/>
    <w:rsid w:val="00FB192C"/>
    <w:rsid w:val="00FB5B11"/>
    <w:rsid w:val="00FB72E4"/>
    <w:rsid w:val="00FC2DC8"/>
    <w:rsid w:val="00FC51AF"/>
    <w:rsid w:val="01D02F0F"/>
    <w:rsid w:val="01E82F62"/>
    <w:rsid w:val="027925BC"/>
    <w:rsid w:val="028A4405"/>
    <w:rsid w:val="031A7DF5"/>
    <w:rsid w:val="031E6DCD"/>
    <w:rsid w:val="0348579C"/>
    <w:rsid w:val="0586641E"/>
    <w:rsid w:val="063C745D"/>
    <w:rsid w:val="08436BB3"/>
    <w:rsid w:val="0B1B3086"/>
    <w:rsid w:val="0B3F00C1"/>
    <w:rsid w:val="0B624003"/>
    <w:rsid w:val="0B990235"/>
    <w:rsid w:val="0D371FBB"/>
    <w:rsid w:val="0D7178A1"/>
    <w:rsid w:val="0E2934E2"/>
    <w:rsid w:val="0E9B3153"/>
    <w:rsid w:val="0F4375E7"/>
    <w:rsid w:val="0F7D11ED"/>
    <w:rsid w:val="10A502F5"/>
    <w:rsid w:val="10E04391"/>
    <w:rsid w:val="11517BD2"/>
    <w:rsid w:val="11581434"/>
    <w:rsid w:val="120B1E67"/>
    <w:rsid w:val="123F3B57"/>
    <w:rsid w:val="12741372"/>
    <w:rsid w:val="12832053"/>
    <w:rsid w:val="12942EC3"/>
    <w:rsid w:val="135C5935"/>
    <w:rsid w:val="141800E2"/>
    <w:rsid w:val="14436F5A"/>
    <w:rsid w:val="14C8373C"/>
    <w:rsid w:val="15FB0DEA"/>
    <w:rsid w:val="1688603E"/>
    <w:rsid w:val="17D13ACA"/>
    <w:rsid w:val="18546A4D"/>
    <w:rsid w:val="197F17C5"/>
    <w:rsid w:val="198C52BB"/>
    <w:rsid w:val="19E146C5"/>
    <w:rsid w:val="1B9178A3"/>
    <w:rsid w:val="1B9C704E"/>
    <w:rsid w:val="1DCD4835"/>
    <w:rsid w:val="1E5B16E6"/>
    <w:rsid w:val="1EA75C4A"/>
    <w:rsid w:val="1F8B1F95"/>
    <w:rsid w:val="20266529"/>
    <w:rsid w:val="207B6840"/>
    <w:rsid w:val="216215DC"/>
    <w:rsid w:val="22C83E9A"/>
    <w:rsid w:val="22D0274D"/>
    <w:rsid w:val="23C6584B"/>
    <w:rsid w:val="24A93216"/>
    <w:rsid w:val="24B17CC4"/>
    <w:rsid w:val="24BF24FE"/>
    <w:rsid w:val="259F1057"/>
    <w:rsid w:val="25AC144E"/>
    <w:rsid w:val="292F171B"/>
    <w:rsid w:val="296601B1"/>
    <w:rsid w:val="298028E7"/>
    <w:rsid w:val="29E3206E"/>
    <w:rsid w:val="2A19705B"/>
    <w:rsid w:val="2B7065B1"/>
    <w:rsid w:val="2C925F51"/>
    <w:rsid w:val="2CF3100E"/>
    <w:rsid w:val="2D541AF5"/>
    <w:rsid w:val="2E364249"/>
    <w:rsid w:val="2E630442"/>
    <w:rsid w:val="2E654DE2"/>
    <w:rsid w:val="2EA86711"/>
    <w:rsid w:val="2FD4084D"/>
    <w:rsid w:val="2FFE7F26"/>
    <w:rsid w:val="30BC13A3"/>
    <w:rsid w:val="31603B06"/>
    <w:rsid w:val="32B74227"/>
    <w:rsid w:val="32CC0CCF"/>
    <w:rsid w:val="32D82B59"/>
    <w:rsid w:val="33952D2C"/>
    <w:rsid w:val="34907E91"/>
    <w:rsid w:val="34E2236A"/>
    <w:rsid w:val="36C62D2F"/>
    <w:rsid w:val="3774567E"/>
    <w:rsid w:val="379F2D9F"/>
    <w:rsid w:val="38566AE3"/>
    <w:rsid w:val="38D93EE9"/>
    <w:rsid w:val="39A368AF"/>
    <w:rsid w:val="39BD4542"/>
    <w:rsid w:val="3A3147D9"/>
    <w:rsid w:val="3A8575AE"/>
    <w:rsid w:val="3AF77B50"/>
    <w:rsid w:val="3B04620A"/>
    <w:rsid w:val="3B491E7B"/>
    <w:rsid w:val="3D205409"/>
    <w:rsid w:val="3D4F1575"/>
    <w:rsid w:val="3DD919A0"/>
    <w:rsid w:val="3E7273DF"/>
    <w:rsid w:val="3E95297B"/>
    <w:rsid w:val="3F065754"/>
    <w:rsid w:val="3F882342"/>
    <w:rsid w:val="40F265D9"/>
    <w:rsid w:val="41AE0F3B"/>
    <w:rsid w:val="41C80380"/>
    <w:rsid w:val="41ED67BA"/>
    <w:rsid w:val="41FA625E"/>
    <w:rsid w:val="42ED3C8F"/>
    <w:rsid w:val="43534D99"/>
    <w:rsid w:val="436F08F0"/>
    <w:rsid w:val="45703E84"/>
    <w:rsid w:val="46116538"/>
    <w:rsid w:val="47B6144C"/>
    <w:rsid w:val="47D60123"/>
    <w:rsid w:val="488F1764"/>
    <w:rsid w:val="4ADB60D3"/>
    <w:rsid w:val="4B1067AA"/>
    <w:rsid w:val="4B2213B0"/>
    <w:rsid w:val="4C5D7555"/>
    <w:rsid w:val="4C895999"/>
    <w:rsid w:val="4CDD36DA"/>
    <w:rsid w:val="4D437089"/>
    <w:rsid w:val="4FE52925"/>
    <w:rsid w:val="500E25CC"/>
    <w:rsid w:val="50444046"/>
    <w:rsid w:val="514622C8"/>
    <w:rsid w:val="519C28C5"/>
    <w:rsid w:val="524F29C5"/>
    <w:rsid w:val="52985D2E"/>
    <w:rsid w:val="538A2137"/>
    <w:rsid w:val="55967CE1"/>
    <w:rsid w:val="55E25226"/>
    <w:rsid w:val="56FE2A73"/>
    <w:rsid w:val="57601798"/>
    <w:rsid w:val="5849036C"/>
    <w:rsid w:val="58AC430D"/>
    <w:rsid w:val="593160A2"/>
    <w:rsid w:val="59494F68"/>
    <w:rsid w:val="5A201BF1"/>
    <w:rsid w:val="5A9D2F99"/>
    <w:rsid w:val="5AF035B3"/>
    <w:rsid w:val="5AF272BB"/>
    <w:rsid w:val="5B170C05"/>
    <w:rsid w:val="5C1D56A6"/>
    <w:rsid w:val="5C822ED4"/>
    <w:rsid w:val="5CAA56B5"/>
    <w:rsid w:val="5DE1371F"/>
    <w:rsid w:val="5EA028D1"/>
    <w:rsid w:val="61993DC5"/>
    <w:rsid w:val="61F059C2"/>
    <w:rsid w:val="62BB209C"/>
    <w:rsid w:val="63296C2E"/>
    <w:rsid w:val="643257B1"/>
    <w:rsid w:val="64AF7D42"/>
    <w:rsid w:val="652B7D6D"/>
    <w:rsid w:val="66195FE8"/>
    <w:rsid w:val="662D54AD"/>
    <w:rsid w:val="66DC2F3C"/>
    <w:rsid w:val="66FD01C7"/>
    <w:rsid w:val="674B6A73"/>
    <w:rsid w:val="6ABD7640"/>
    <w:rsid w:val="6AFE3565"/>
    <w:rsid w:val="6B7273EB"/>
    <w:rsid w:val="6C1215C4"/>
    <w:rsid w:val="6E98769A"/>
    <w:rsid w:val="6EB14DC3"/>
    <w:rsid w:val="6F0E46D3"/>
    <w:rsid w:val="6F4809AE"/>
    <w:rsid w:val="6F674B3E"/>
    <w:rsid w:val="6F7309DD"/>
    <w:rsid w:val="6FB63269"/>
    <w:rsid w:val="7001705B"/>
    <w:rsid w:val="726F3FDB"/>
    <w:rsid w:val="72C873DB"/>
    <w:rsid w:val="73CF5BFD"/>
    <w:rsid w:val="73EF7CDA"/>
    <w:rsid w:val="74DB0280"/>
    <w:rsid w:val="74F6281A"/>
    <w:rsid w:val="75347C16"/>
    <w:rsid w:val="754645C6"/>
    <w:rsid w:val="75B074E6"/>
    <w:rsid w:val="76827FA7"/>
    <w:rsid w:val="76B2081F"/>
    <w:rsid w:val="77147EA6"/>
    <w:rsid w:val="7723394E"/>
    <w:rsid w:val="77DE0F99"/>
    <w:rsid w:val="77F0179A"/>
    <w:rsid w:val="77F93E0A"/>
    <w:rsid w:val="77FE6B78"/>
    <w:rsid w:val="78444481"/>
    <w:rsid w:val="78AA5F95"/>
    <w:rsid w:val="792A34FF"/>
    <w:rsid w:val="79626AEE"/>
    <w:rsid w:val="7B0020A4"/>
    <w:rsid w:val="7B4234BE"/>
    <w:rsid w:val="7B700DC1"/>
    <w:rsid w:val="7B770BD6"/>
    <w:rsid w:val="7BB4409C"/>
    <w:rsid w:val="7C226101"/>
    <w:rsid w:val="7C3D5B21"/>
    <w:rsid w:val="7C707215"/>
    <w:rsid w:val="7CAC3084"/>
    <w:rsid w:val="7D9C4F7E"/>
    <w:rsid w:val="7F0C020C"/>
    <w:rsid w:val="7FEB79BD"/>
    <w:rsid w:val="7FF22ABB"/>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ocked="1"/>
    <w:lsdException w:qFormat="1" w:unhideWhenUsed="0" w:uiPriority="2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0"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99"/>
    <w:rPr>
      <w:rFonts w:eastAsia="仿宋_GB2312"/>
      <w:sz w:val="30"/>
      <w:szCs w:val="30"/>
    </w:rPr>
  </w:style>
  <w:style w:type="paragraph" w:styleId="3">
    <w:name w:val="Date"/>
    <w:basedOn w:val="1"/>
    <w:next w:val="1"/>
    <w:link w:val="15"/>
    <w:qFormat/>
    <w:uiPriority w:val="99"/>
    <w:pPr>
      <w:ind w:left="100" w:leftChars="2500"/>
    </w:pPr>
  </w:style>
  <w:style w:type="paragraph" w:styleId="4">
    <w:name w:val="footer"/>
    <w:basedOn w:val="1"/>
    <w:link w:val="16"/>
    <w:qFormat/>
    <w:uiPriority w:val="99"/>
    <w:pPr>
      <w:pBdr>
        <w:top w:val="none" w:color="000000" w:sz="0" w:space="3"/>
        <w:left w:val="none" w:color="000000" w:sz="0" w:space="3"/>
        <w:bottom w:val="none" w:color="000000" w:sz="0" w:space="3"/>
        <w:right w:val="none" w:color="000000" w:sz="0" w:space="3"/>
      </w:pBdr>
      <w:tabs>
        <w:tab w:val="center" w:pos="4153"/>
        <w:tab w:val="right" w:pos="8306"/>
      </w:tabs>
      <w:jc w:val="left"/>
    </w:pPr>
    <w:rPr>
      <w:sz w:val="18"/>
      <w:szCs w:val="18"/>
    </w:rPr>
  </w:style>
  <w:style w:type="paragraph" w:styleId="5">
    <w:name w:val="header"/>
    <w:basedOn w:val="1"/>
    <w:link w:val="17"/>
    <w:qFormat/>
    <w:uiPriority w:val="99"/>
    <w:pPr>
      <w:pBdr>
        <w:top w:val="none" w:color="000000" w:sz="0" w:space="3"/>
        <w:left w:val="none" w:color="000000" w:sz="0" w:space="3"/>
        <w:bottom w:val="single" w:color="000000" w:sz="6" w:space="1"/>
        <w:right w:val="none" w:color="000000" w:sz="0" w:space="3"/>
      </w:pBdr>
      <w:tabs>
        <w:tab w:val="center" w:pos="4153"/>
        <w:tab w:val="right" w:pos="8306"/>
      </w:tabs>
      <w:jc w:val="center"/>
    </w:pPr>
    <w:rPr>
      <w:sz w:val="18"/>
      <w:szCs w:val="18"/>
    </w:rPr>
  </w:style>
  <w:style w:type="paragraph" w:styleId="6">
    <w:name w:val="Normal (Web)"/>
    <w:basedOn w:val="1"/>
    <w:qFormat/>
    <w:uiPriority w:val="99"/>
    <w:pPr>
      <w:widowControl/>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jc w:val="left"/>
    </w:pPr>
    <w:rPr>
      <w:rFonts w:ascii="宋体" w:hAnsi="宋体" w:cs="宋体"/>
      <w:kern w:val="0"/>
      <w:sz w:val="24"/>
      <w:szCs w:val="24"/>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locked/>
    <w:uiPriority w:val="99"/>
    <w:rPr>
      <w:b/>
      <w:bCs/>
    </w:rPr>
  </w:style>
  <w:style w:type="character" w:styleId="11">
    <w:name w:val="page number"/>
    <w:basedOn w:val="9"/>
    <w:qFormat/>
    <w:uiPriority w:val="99"/>
  </w:style>
  <w:style w:type="character" w:styleId="12">
    <w:name w:val="FollowedHyperlink"/>
    <w:basedOn w:val="9"/>
    <w:qFormat/>
    <w:uiPriority w:val="99"/>
    <w:rPr>
      <w:color w:val="800080"/>
      <w:u w:val="none"/>
    </w:rPr>
  </w:style>
  <w:style w:type="character" w:styleId="13">
    <w:name w:val="Hyperlink"/>
    <w:basedOn w:val="9"/>
    <w:qFormat/>
    <w:uiPriority w:val="99"/>
    <w:rPr>
      <w:color w:val="0000FF"/>
      <w:u w:val="none"/>
    </w:rPr>
  </w:style>
  <w:style w:type="character" w:customStyle="1" w:styleId="14">
    <w:name w:val="正文文本 Char"/>
    <w:basedOn w:val="9"/>
    <w:link w:val="2"/>
    <w:semiHidden/>
    <w:qFormat/>
    <w:locked/>
    <w:uiPriority w:val="99"/>
    <w:rPr>
      <w:kern w:val="1"/>
      <w:sz w:val="21"/>
      <w:szCs w:val="21"/>
    </w:rPr>
  </w:style>
  <w:style w:type="character" w:customStyle="1" w:styleId="15">
    <w:name w:val="日期 Char"/>
    <w:basedOn w:val="9"/>
    <w:link w:val="3"/>
    <w:semiHidden/>
    <w:qFormat/>
    <w:locked/>
    <w:uiPriority w:val="99"/>
    <w:rPr>
      <w:kern w:val="1"/>
      <w:sz w:val="21"/>
      <w:szCs w:val="21"/>
    </w:rPr>
  </w:style>
  <w:style w:type="character" w:customStyle="1" w:styleId="16">
    <w:name w:val="页脚 Char"/>
    <w:basedOn w:val="9"/>
    <w:link w:val="4"/>
    <w:qFormat/>
    <w:locked/>
    <w:uiPriority w:val="99"/>
    <w:rPr>
      <w:kern w:val="1"/>
      <w:sz w:val="18"/>
      <w:szCs w:val="18"/>
    </w:rPr>
  </w:style>
  <w:style w:type="character" w:customStyle="1" w:styleId="17">
    <w:name w:val="页眉 Char"/>
    <w:basedOn w:val="9"/>
    <w:link w:val="5"/>
    <w:semiHidden/>
    <w:qFormat/>
    <w:locked/>
    <w:uiPriority w:val="99"/>
    <w:rPr>
      <w:kern w:val="1"/>
      <w:sz w:val="18"/>
      <w:szCs w:val="18"/>
    </w:rPr>
  </w:style>
  <w:style w:type="paragraph" w:customStyle="1" w:styleId="18">
    <w:name w:val="Char Char Char1"/>
    <w:basedOn w:val="1"/>
    <w:qFormat/>
    <w:uiPriority w:val="99"/>
    <w:pPr>
      <w:pBdr>
        <w:top w:val="none" w:color="auto" w:sz="0" w:space="0"/>
        <w:left w:val="none" w:color="auto" w:sz="0" w:space="0"/>
        <w:bottom w:val="none" w:color="auto" w:sz="0" w:space="0"/>
        <w:right w:val="none" w:color="auto" w:sz="0" w:space="0"/>
        <w:between w:val="none" w:color="auto" w:sz="0" w:space="0"/>
      </w:pBdr>
    </w:pPr>
    <w:rPr>
      <w:rFonts w:ascii="Calibri" w:hAnsi="Calibri" w:eastAsia="仿宋_GB2312" w:cs="Calibri"/>
      <w:color w:val="000000"/>
      <w:kern w:val="2"/>
      <w:sz w:val="24"/>
      <w:szCs w:val="24"/>
    </w:rPr>
  </w:style>
  <w:style w:type="character" w:customStyle="1" w:styleId="19">
    <w:name w:val="font31"/>
    <w:basedOn w:val="9"/>
    <w:qFormat/>
    <w:uiPriority w:val="99"/>
    <w:rPr>
      <w:rFonts w:ascii="仿宋_GB2312" w:eastAsia="仿宋_GB2312" w:cs="仿宋_GB2312"/>
      <w:color w:val="000000"/>
      <w:sz w:val="24"/>
      <w:szCs w:val="24"/>
      <w:u w:val="none"/>
    </w:rPr>
  </w:style>
  <w:style w:type="character" w:customStyle="1" w:styleId="20">
    <w:name w:val="Body text|2 + 9.5 pt"/>
    <w:basedOn w:val="9"/>
    <w:semiHidden/>
    <w:qFormat/>
    <w:uiPriority w:val="99"/>
    <w:rPr>
      <w:rFonts w:ascii="PMingLiUfalt" w:hAnsi="PMingLiUfalt" w:eastAsia="PMingLiUfalt" w:cs="PMingLiUfalt"/>
      <w:color w:val="000000"/>
      <w:spacing w:val="10"/>
      <w:w w:val="100"/>
      <w:position w:val="0"/>
      <w:sz w:val="19"/>
      <w:szCs w:val="19"/>
      <w:u w:val="none"/>
      <w:lang w:val="zh-CN" w:eastAsia="zh-CN"/>
    </w:rPr>
  </w:style>
  <w:style w:type="character" w:customStyle="1" w:styleId="21">
    <w:name w:val="font41"/>
    <w:basedOn w:val="9"/>
    <w:qFormat/>
    <w:uiPriority w:val="99"/>
    <w:rPr>
      <w:rFonts w:ascii="仿宋_GB2312" w:eastAsia="仿宋_GB2312" w:cs="仿宋_GB2312"/>
      <w:color w:val="000000"/>
      <w:sz w:val="24"/>
      <w:szCs w:val="24"/>
      <w:u w:val="none"/>
    </w:rPr>
  </w:style>
  <w:style w:type="character" w:customStyle="1" w:styleId="22">
    <w:name w:val="页眉 字符"/>
    <w:qFormat/>
    <w:uiPriority w:val="99"/>
    <w:rPr>
      <w:sz w:val="18"/>
      <w:szCs w:val="18"/>
    </w:rPr>
  </w:style>
  <w:style w:type="character" w:customStyle="1" w:styleId="23">
    <w:name w:val="页脚 字符"/>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1175</Words>
  <Characters>6702</Characters>
  <Lines>55</Lines>
  <Paragraphs>15</Paragraphs>
  <TotalTime>0</TotalTime>
  <ScaleCrop>false</ScaleCrop>
  <LinksUpToDate>false</LinksUpToDate>
  <CharactersWithSpaces>7862</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2018-09-05T09:00:00Z</dcterms:created>
  <dc:creator>tengzhou</dc:creator>
  <cp:lastModifiedBy>爱新觉罗-琛</cp:lastModifiedBy>
  <cp:lastPrinted>2020-04-02T19:00:00Z</cp:lastPrinted>
  <dcterms:modified xsi:type="dcterms:W3CDTF">2021-12-17T14:41:44Z</dcterms:modified>
  <dc:title>中共滕州市委文件</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FD6E6587AC8E4D3EA6785E4530ACAEB5</vt:lpwstr>
  </property>
</Properties>
</file>